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Цели по безопасности — 2025</w:t>
      </w:r>
    </w:p>
    <w:bookmarkStart w:id="9" w:name="управление-уязвимостями"/>
    <w:p>
      <w:pPr>
        <w:pStyle w:val="Heading3"/>
      </w:pPr>
      <w:r>
        <w:t xml:space="preserve">Управление уязвимостями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Цель</w:t>
            </w:r>
          </w:p>
        </w:tc>
        <w:tc>
          <w:tcPr/>
          <w:p>
            <w:pPr>
              <w:pStyle w:val="Compact"/>
            </w:pPr>
            <w:r>
              <w:t xml:space="preserve">Текущее</w:t>
            </w:r>
          </w:p>
        </w:tc>
        <w:tc>
          <w:tcPr/>
          <w:p>
            <w:pPr>
              <w:pStyle w:val="Compact"/>
            </w:pPr>
            <w:r>
              <w:t xml:space="preserve">Целевое</w:t>
            </w:r>
          </w:p>
        </w:tc>
        <w:tc>
          <w:tcPr/>
          <w:p>
            <w:pPr>
              <w:pStyle w:val="Compact"/>
            </w:pPr>
            <w:r>
              <w:t xml:space="preserve">Когда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Нулевые критические уязвимости</w:t>
            </w:r>
          </w:p>
        </w:tc>
        <w:tc>
          <w:tcPr/>
          <w:p>
            <w:pPr>
              <w:pStyle w:val="Compact"/>
            </w:pPr>
            <w:r>
              <w:t xml:space="preserve">Ср. 2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Постоянно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MTTR критические</w:t>
            </w:r>
          </w:p>
        </w:tc>
        <w:tc>
          <w:tcPr/>
          <w:p>
            <w:pPr>
              <w:pStyle w:val="Compact"/>
            </w:pPr>
            <w:r>
              <w:t xml:space="preserve">8 дней</w:t>
            </w:r>
          </w:p>
        </w:tc>
        <w:tc>
          <w:tcPr/>
          <w:p>
            <w:pPr>
              <w:pStyle w:val="Compact"/>
            </w:pPr>
            <w:r>
              <w:t xml:space="preserve">3 дня</w:t>
            </w:r>
          </w:p>
        </w:tc>
        <w:tc>
          <w:tcPr/>
          <w:p>
            <w:pPr>
              <w:pStyle w:val="Compact"/>
            </w:pPr>
            <w:r>
              <w:t xml:space="preserve">II кв.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MTTR высокие</w:t>
            </w:r>
          </w:p>
        </w:tc>
        <w:tc>
          <w:tcPr/>
          <w:p>
            <w:pPr>
              <w:pStyle w:val="Compact"/>
            </w:pPr>
            <w:r>
              <w:t xml:space="preserve">21 день</w:t>
            </w:r>
          </w:p>
        </w:tc>
        <w:tc>
          <w:tcPr/>
          <w:p>
            <w:pPr>
              <w:pStyle w:val="Compact"/>
            </w:pPr>
            <w:r>
              <w:t xml:space="preserve">14 дней</w:t>
            </w:r>
          </w:p>
        </w:tc>
        <w:tc>
          <w:tcPr/>
          <w:p>
            <w:pPr>
              <w:pStyle w:val="Compact"/>
            </w:pPr>
            <w:r>
              <w:t xml:space="preserve">III кв.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Доля систем с патчами</w:t>
            </w:r>
          </w:p>
        </w:tc>
        <w:tc>
          <w:tcPr/>
          <w:p>
            <w:pPr>
              <w:pStyle w:val="Compact"/>
            </w:pPr>
            <w:r>
              <w:t xml:space="preserve">85%</w:t>
            </w:r>
          </w:p>
        </w:tc>
        <w:tc>
          <w:tcPr/>
          <w:p>
            <w:pPr>
              <w:pStyle w:val="Compact"/>
            </w:pPr>
            <w:r>
              <w:t xml:space="preserve">95%</w:t>
            </w:r>
          </w:p>
        </w:tc>
        <w:tc>
          <w:tcPr/>
          <w:p>
            <w:pPr>
              <w:pStyle w:val="Compact"/>
            </w:pPr>
            <w:r>
              <w:t xml:space="preserve">II кв.</w:t>
            </w:r>
          </w:p>
        </w:tc>
      </w:tr>
    </w:tbl>
    <w:bookmarkEnd w:id="9"/>
    <w:bookmarkStart w:id="10" w:name="управление-доступом"/>
    <w:p>
      <w:pPr>
        <w:pStyle w:val="Heading3"/>
      </w:pPr>
      <w:r>
        <w:t xml:space="preserve">Управление доступом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Цель</w:t>
            </w:r>
          </w:p>
        </w:tc>
        <w:tc>
          <w:tcPr/>
          <w:p>
            <w:pPr>
              <w:pStyle w:val="Compact"/>
            </w:pPr>
            <w:r>
              <w:t xml:space="preserve">Текущее</w:t>
            </w:r>
          </w:p>
        </w:tc>
        <w:tc>
          <w:tcPr/>
          <w:p>
            <w:pPr>
              <w:pStyle w:val="Compact"/>
            </w:pPr>
            <w:r>
              <w:t xml:space="preserve">Целевое</w:t>
            </w:r>
          </w:p>
        </w:tc>
        <w:tc>
          <w:tcPr/>
          <w:p>
            <w:pPr>
              <w:pStyle w:val="Compact"/>
            </w:pPr>
            <w:r>
              <w:t xml:space="preserve">Когда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Охват МФА</w:t>
            </w:r>
          </w:p>
        </w:tc>
        <w:tc>
          <w:tcPr/>
          <w:p>
            <w:pPr>
              <w:pStyle w:val="Compact"/>
            </w:pPr>
            <w:r>
              <w:t xml:space="preserve">94%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t xml:space="preserve">I кв.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Привилегированные учётные записи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II кв.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Цикл проверки доступа</w:t>
            </w:r>
          </w:p>
        </w:tc>
        <w:tc>
          <w:tcPr/>
          <w:p>
            <w:pPr>
              <w:pStyle w:val="Compact"/>
            </w:pPr>
            <w:r>
              <w:t xml:space="preserve">Ежегодно</w:t>
            </w:r>
          </w:p>
        </w:tc>
        <w:tc>
          <w:tcPr/>
          <w:p>
            <w:pPr>
              <w:pStyle w:val="Compact"/>
            </w:pPr>
            <w:r>
              <w:t xml:space="preserve">Ежеквартально</w:t>
            </w:r>
          </w:p>
        </w:tc>
        <w:tc>
          <w:tcPr/>
          <w:p>
            <w:pPr>
              <w:pStyle w:val="Compact"/>
            </w:pPr>
            <w:r>
              <w:t xml:space="preserve">II кв.</w:t>
            </w:r>
          </w:p>
        </w:tc>
      </w:tr>
    </w:tbl>
    <w:bookmarkEnd w:id="10"/>
    <w:bookmarkStart w:id="11" w:name="осведомлённость"/>
    <w:p>
      <w:pPr>
        <w:pStyle w:val="Heading3"/>
      </w:pPr>
      <w:r>
        <w:t xml:space="preserve">Осведомлённость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Цель</w:t>
            </w:r>
          </w:p>
        </w:tc>
        <w:tc>
          <w:tcPr/>
          <w:p>
            <w:pPr>
              <w:pStyle w:val="Compact"/>
            </w:pPr>
            <w:r>
              <w:t xml:space="preserve">Текущее</w:t>
            </w:r>
          </w:p>
        </w:tc>
        <w:tc>
          <w:tcPr/>
          <w:p>
            <w:pPr>
              <w:pStyle w:val="Compact"/>
            </w:pPr>
            <w:r>
              <w:t xml:space="preserve">Целевое</w:t>
            </w:r>
          </w:p>
        </w:tc>
        <w:tc>
          <w:tcPr/>
          <w:p>
            <w:pPr>
              <w:pStyle w:val="Compact"/>
            </w:pPr>
            <w:r>
              <w:t xml:space="preserve">Когда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Кликабельность при фишинге</w:t>
            </w:r>
          </w:p>
        </w:tc>
        <w:tc>
          <w:tcPr/>
          <w:p>
            <w:pPr>
              <w:pStyle w:val="Compact"/>
            </w:pPr>
            <w:r>
              <w:t xml:space="preserve">8%</w:t>
            </w:r>
          </w:p>
        </w:tc>
        <w:tc>
          <w:tcPr/>
          <w:p>
            <w:pPr>
              <w:pStyle w:val="Compact"/>
            </w:pPr>
            <w:r>
              <w:t xml:space="preserve">5%</w:t>
            </w:r>
          </w:p>
        </w:tc>
        <w:tc>
          <w:tcPr/>
          <w:p>
            <w:pPr>
              <w:pStyle w:val="Compact"/>
            </w:pPr>
            <w:r>
              <w:t xml:space="preserve">II кв.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Прохождение обучения</w:t>
            </w:r>
          </w:p>
        </w:tc>
        <w:tc>
          <w:tcPr/>
          <w:p>
            <w:pPr>
              <w:pStyle w:val="Compact"/>
            </w:pPr>
            <w:r>
              <w:t xml:space="preserve">75%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t xml:space="preserve">I кв.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Доля сообщающих о фишинге</w:t>
            </w:r>
          </w:p>
        </w:tc>
        <w:tc>
          <w:tcPr/>
          <w:p>
            <w:pPr>
              <w:pStyle w:val="Compact"/>
            </w:pPr>
            <w:r>
              <w:t xml:space="preserve">40%</w:t>
            </w:r>
          </w:p>
        </w:tc>
        <w:tc>
          <w:tcPr/>
          <w:p>
            <w:pPr>
              <w:pStyle w:val="Compact"/>
            </w:pPr>
            <w:r>
              <w:t xml:space="preserve">60%</w:t>
            </w:r>
          </w:p>
        </w:tc>
        <w:tc>
          <w:tcPr/>
          <w:p>
            <w:pPr>
              <w:pStyle w:val="Compact"/>
            </w:pPr>
            <w:r>
              <w:t xml:space="preserve">III кв.</w:t>
            </w:r>
          </w:p>
        </w:tc>
      </w:tr>
    </w:tbl>
    <w:bookmarkEnd w:id="11"/>
    <w:bookmarkStart w:id="12" w:name="реагирование-на-инциденты"/>
    <w:p>
      <w:pPr>
        <w:pStyle w:val="Heading3"/>
      </w:pPr>
      <w:r>
        <w:t xml:space="preserve">Реагирование на инциденты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Цель</w:t>
            </w:r>
          </w:p>
        </w:tc>
        <w:tc>
          <w:tcPr/>
          <w:p>
            <w:pPr>
              <w:pStyle w:val="Compact"/>
            </w:pPr>
            <w:r>
              <w:t xml:space="preserve">Текущее</w:t>
            </w:r>
          </w:p>
        </w:tc>
        <w:tc>
          <w:tcPr/>
          <w:p>
            <w:pPr>
              <w:pStyle w:val="Compact"/>
            </w:pPr>
            <w:r>
              <w:t xml:space="preserve">Целевое</w:t>
            </w:r>
          </w:p>
        </w:tc>
        <w:tc>
          <w:tcPr/>
          <w:p>
            <w:pPr>
              <w:pStyle w:val="Compact"/>
            </w:pPr>
            <w:r>
              <w:t xml:space="preserve">Когда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MTTD</w:t>
            </w:r>
          </w:p>
        </w:tc>
        <w:tc>
          <w:tcPr/>
          <w:p>
            <w:pPr>
              <w:pStyle w:val="Compact"/>
            </w:pPr>
            <w:r>
              <w:t xml:space="preserve">4 часа</w:t>
            </w:r>
          </w:p>
        </w:tc>
        <w:tc>
          <w:tcPr/>
          <w:p>
            <w:pPr>
              <w:pStyle w:val="Compact"/>
            </w:pPr>
            <w:r>
              <w:t xml:space="preserve">1 час</w:t>
            </w:r>
          </w:p>
        </w:tc>
        <w:tc>
          <w:tcPr/>
          <w:p>
            <w:pPr>
              <w:pStyle w:val="Compact"/>
            </w:pPr>
            <w:r>
              <w:t xml:space="preserve">IV кв.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MTTR</w:t>
            </w:r>
          </w:p>
        </w:tc>
        <w:tc>
          <w:tcPr/>
          <w:p>
            <w:pPr>
              <w:pStyle w:val="Compact"/>
            </w:pPr>
            <w:r>
              <w:t xml:space="preserve">6 часов</w:t>
            </w:r>
          </w:p>
        </w:tc>
        <w:tc>
          <w:tcPr/>
          <w:p>
            <w:pPr>
              <w:pStyle w:val="Compact"/>
            </w:pPr>
            <w:r>
              <w:t xml:space="preserve">2 часа</w:t>
            </w:r>
          </w:p>
        </w:tc>
        <w:tc>
          <w:tcPr/>
          <w:p>
            <w:pPr>
              <w:pStyle w:val="Compact"/>
            </w:pPr>
            <w:r>
              <w:t xml:space="preserve">IV кв.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Учебные тревоги</w:t>
            </w:r>
          </w:p>
        </w:tc>
        <w:tc>
          <w:tcPr/>
          <w:p>
            <w:pPr>
              <w:pStyle w:val="Compact"/>
            </w:pPr>
            <w:r>
              <w:t xml:space="preserve">1/год</w:t>
            </w:r>
          </w:p>
        </w:tc>
        <w:tc>
          <w:tcPr/>
          <w:p>
            <w:pPr>
              <w:pStyle w:val="Compact"/>
            </w:pPr>
            <w:r>
              <w:t xml:space="preserve">4/год</w:t>
            </w:r>
          </w:p>
        </w:tc>
        <w:tc>
          <w:tcPr/>
          <w:p>
            <w:pPr>
              <w:pStyle w:val="Compact"/>
            </w:pPr>
            <w:r>
              <w:t xml:space="preserve">Постоянно</w:t>
            </w:r>
          </w:p>
        </w:tc>
      </w:tr>
    </w:tbl>
    <w:bookmarkEnd w:id="12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по безопасности — 2025</dc:title>
  <dc:creator>ООО Пассворк</dc:creator>
  <cp:keywords/>
  <dcterms:created xsi:type="dcterms:W3CDTF">2026-08-07T06:43:48Z</dcterms:created>
  <dcterms:modified xsi:type="dcterms:W3CDTF">2026-08-07T06:43:48Z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