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Политика допустимого использования [НАЗВАНИЕ КОМПАНИИ]</w:t>
      </w:r>
    </w:p>
    <w:p>
      <w:pPr>
        <w:pStyle w:val="FirstParagraph"/>
      </w:pPr>
      <w:r>
        <w:rPr>
          <w:b/>
          <w:bCs/>
        </w:rPr>
        <w:t xml:space="preserve">Дата введения:</w:t>
      </w:r>
      <w:r>
        <w:t xml:space="preserve"> </w:t>
      </w:r>
      <w:r>
        <w:t xml:space="preserve">[ДАТА]</w:t>
      </w:r>
      <w:r>
        <w:t xml:space="preserve"> </w:t>
      </w:r>
      <w:r>
        <w:rPr>
          <w:b/>
          <w:bCs/>
        </w:rPr>
        <w:t xml:space="preserve">Последнее обновление:</w:t>
      </w:r>
      <w:r>
        <w:t xml:space="preserve"> </w:t>
      </w:r>
      <w:r>
        <w:t xml:space="preserve">[ДАТА]</w:t>
      </w:r>
      <w:r>
        <w:t xml:space="preserve"> </w:t>
      </w:r>
      <w:r>
        <w:rPr>
          <w:b/>
          <w:bCs/>
        </w:rPr>
        <w:t xml:space="preserve">Ответственный:</w:t>
      </w:r>
      <w:r>
        <w:t xml:space="preserve"> </w:t>
      </w:r>
      <w:r>
        <w:t xml:space="preserve">[ИМЯ ЛИДЕР БЕЗОПАСНОСТИ]</w:t>
      </w:r>
    </w:p>
    <w:bookmarkStart w:id="9" w:name="цель"/>
    <w:p>
      <w:pPr>
        <w:pStyle w:val="Heading2"/>
      </w:pPr>
      <w:r>
        <w:t xml:space="preserve">Цель</w:t>
      </w:r>
    </w:p>
    <w:p>
      <w:pPr>
        <w:pStyle w:val="FirstParagraph"/>
      </w:pPr>
      <w:r>
        <w:t xml:space="preserve">Настоящая политика определяет допустимое использование технологических</w:t>
      </w:r>
      <w:r>
        <w:t xml:space="preserve"> </w:t>
      </w:r>
      <w:r>
        <w:t xml:space="preserve">ресурсов [НАЗВАНИЕ КОМПАНИИ]. Соблюдение этих правил защищает вас,</w:t>
      </w:r>
      <w:r>
        <w:t xml:space="preserve"> </w:t>
      </w:r>
      <w:r>
        <w:t xml:space="preserve">ваших коллег и наших клиентов.</w:t>
      </w:r>
    </w:p>
    <w:bookmarkEnd w:id="9"/>
    <w:bookmarkStart w:id="10" w:name="область-применения"/>
    <w:p>
      <w:pPr>
        <w:pStyle w:val="Heading2"/>
      </w:pPr>
      <w:r>
        <w:t xml:space="preserve">Область применения</w:t>
      </w:r>
    </w:p>
    <w:p>
      <w:pPr>
        <w:pStyle w:val="FirstParagraph"/>
      </w:pPr>
      <w:r>
        <w:t xml:space="preserve">Политика распространяется на:</w:t>
      </w:r>
      <w:r>
        <w:t xml:space="preserve"> </w:t>
      </w:r>
      <w:r>
        <w:t xml:space="preserve">- всех сотрудников, подрядчиков и временных работников;</w:t>
      </w:r>
      <w:r>
        <w:t xml:space="preserve"> </w:t>
      </w:r>
      <w:r>
        <w:t xml:space="preserve">- все устройства и учётные записи компании;</w:t>
      </w:r>
      <w:r>
        <w:t xml:space="preserve"> </w:t>
      </w:r>
      <w:r>
        <w:t xml:space="preserve">- личные устройства при доступе к корпоративным данным;</w:t>
      </w:r>
      <w:r>
        <w:t xml:space="preserve"> </w:t>
      </w:r>
      <w:r>
        <w:t xml:space="preserve">- использование корпоративной сети и облачных сервисов.</w:t>
      </w:r>
    </w:p>
    <w:bookmarkEnd w:id="10"/>
    <w:bookmarkStart w:id="18" w:name="ваши-обязанности"/>
    <w:p>
      <w:pPr>
        <w:pStyle w:val="Heading2"/>
      </w:pPr>
      <w:r>
        <w:t xml:space="preserve">Ваши обязанности</w:t>
      </w:r>
    </w:p>
    <w:bookmarkStart w:id="11" w:name="учётные-записи-и-пароли"/>
    <w:p>
      <w:pPr>
        <w:pStyle w:val="Heading3"/>
      </w:pPr>
      <w:r>
        <w:t xml:space="preserve">Учётные записи и пароли</w:t>
      </w:r>
    </w:p>
    <w:p>
      <w:pPr>
        <w:pStyle w:val="Compact"/>
        <w:numPr>
          <w:ilvl w:val="0"/>
          <w:numId w:val="1001"/>
        </w:numPr>
      </w:pPr>
      <w:r>
        <w:t xml:space="preserve">Используйте уникальные пароли длиной не менее [12/14/16] символов</w:t>
      </w:r>
      <w:r>
        <w:t xml:space="preserve"> </w:t>
      </w:r>
      <w:r>
        <w:t xml:space="preserve">для всех рабочих учётных записей.</w:t>
      </w:r>
    </w:p>
    <w:p>
      <w:pPr>
        <w:pStyle w:val="Compact"/>
        <w:numPr>
          <w:ilvl w:val="0"/>
          <w:numId w:val="1001"/>
        </w:numPr>
      </w:pPr>
      <w:r>
        <w:t xml:space="preserve">Включите МФА (многофакторную аутентификацию) везде, где она поддерживается</w:t>
      </w:r>
      <w:r>
        <w:t xml:space="preserve"> </w:t>
      </w:r>
      <w:r>
        <w:t xml:space="preserve">(обязательно для: [список критичных сервисов]).</w:t>
      </w:r>
    </w:p>
    <w:p>
      <w:pPr>
        <w:pStyle w:val="Compact"/>
        <w:numPr>
          <w:ilvl w:val="0"/>
          <w:numId w:val="1001"/>
        </w:numPr>
      </w:pPr>
      <w:r>
        <w:t xml:space="preserve">Никогда не передавайте реквизиты доступа никому, включая ИТ-отдел</w:t>
      </w:r>
      <w:r>
        <w:t xml:space="preserve"> </w:t>
      </w:r>
      <w:r>
        <w:t xml:space="preserve">и руководителя.</w:t>
      </w:r>
    </w:p>
    <w:p>
      <w:pPr>
        <w:pStyle w:val="Compact"/>
        <w:numPr>
          <w:ilvl w:val="0"/>
          <w:numId w:val="1001"/>
        </w:numPr>
      </w:pPr>
      <w:r>
        <w:t xml:space="preserve">Блокируйте компьютер при отходе с рабочего места (Win+L / Cmd+Ctrl+Q).</w:t>
      </w:r>
    </w:p>
    <w:p>
      <w:pPr>
        <w:pStyle w:val="Compact"/>
        <w:numPr>
          <w:ilvl w:val="0"/>
          <w:numId w:val="1001"/>
        </w:numPr>
      </w:pPr>
      <w:r>
        <w:t xml:space="preserve">Немедленно сообщайте о подозрении на компрометацию учётной записи</w:t>
      </w:r>
      <w:r>
        <w:t xml:space="preserve"> </w:t>
      </w:r>
      <w:r>
        <w:t xml:space="preserve">на: [КОНТАКТ].</w:t>
      </w:r>
    </w:p>
    <w:bookmarkEnd w:id="11"/>
    <w:bookmarkStart w:id="12" w:name="почта-и-коммуникации"/>
    <w:p>
      <w:pPr>
        <w:pStyle w:val="Heading3"/>
      </w:pPr>
      <w:r>
        <w:t xml:space="preserve">Почта и коммуникации</w:t>
      </w:r>
    </w:p>
    <w:p>
      <w:pPr>
        <w:pStyle w:val="Compact"/>
        <w:numPr>
          <w:ilvl w:val="0"/>
          <w:numId w:val="1002"/>
        </w:numPr>
      </w:pPr>
      <w:r>
        <w:t xml:space="preserve">Корпоративная почта — только для рабочей переписки.</w:t>
      </w:r>
    </w:p>
    <w:p>
      <w:pPr>
        <w:pStyle w:val="Compact"/>
        <w:numPr>
          <w:ilvl w:val="0"/>
          <w:numId w:val="1002"/>
        </w:numPr>
      </w:pPr>
      <w:r>
        <w:t xml:space="preserve">Не открывайте неожиданные вложения — сначала уточните у отправителя.</w:t>
      </w:r>
    </w:p>
    <w:p>
      <w:pPr>
        <w:pStyle w:val="Compact"/>
        <w:numPr>
          <w:ilvl w:val="0"/>
          <w:numId w:val="1002"/>
        </w:numPr>
      </w:pPr>
      <w:r>
        <w:t xml:space="preserve">Сообщайте о подозрительных письмах: [КАНАЛ В МЕССЕНДЖЕРЕ / ПОЧТА ИБ].</w:t>
      </w:r>
    </w:p>
    <w:p>
      <w:pPr>
        <w:pStyle w:val="Compact"/>
        <w:numPr>
          <w:ilvl w:val="0"/>
          <w:numId w:val="1002"/>
        </w:numPr>
      </w:pPr>
      <w:r>
        <w:t xml:space="preserve">Не регистрируйтесь на личных сервисах через корпоративный адрес.</w:t>
      </w:r>
    </w:p>
    <w:p>
      <w:pPr>
        <w:pStyle w:val="Compact"/>
        <w:numPr>
          <w:ilvl w:val="0"/>
          <w:numId w:val="1002"/>
        </w:numPr>
      </w:pPr>
      <w:r>
        <w:t xml:space="preserve">Считайте, что любое деловое письмо может стать публичным в суде.</w:t>
      </w:r>
    </w:p>
    <w:bookmarkEnd w:id="12"/>
    <w:bookmarkStart w:id="13" w:name="использование-интернета"/>
    <w:p>
      <w:pPr>
        <w:pStyle w:val="Heading3"/>
      </w:pPr>
      <w:r>
        <w:t xml:space="preserve">Использование интернета</w:t>
      </w:r>
    </w:p>
    <w:p>
      <w:pPr>
        <w:pStyle w:val="FirstParagraph"/>
      </w:pPr>
      <w:r>
        <w:t xml:space="preserve">Личный интернет в перерывах допустим в разумных пределах. Запрещено:</w:t>
      </w:r>
      <w:r>
        <w:t xml:space="preserve"> </w:t>
      </w:r>
      <w:r>
        <w:t xml:space="preserve">- доступ к незаконному контенту;</w:t>
      </w:r>
      <w:r>
        <w:t xml:space="preserve"> </w:t>
      </w:r>
      <w:r>
        <w:t xml:space="preserve">- загрузка пиратского ПО или медиафайлов;</w:t>
      </w:r>
      <w:r>
        <w:t xml:space="preserve"> </w:t>
      </w:r>
      <w:r>
        <w:t xml:space="preserve">- избыточное использование трафика (стриминг в рабочее время);</w:t>
      </w:r>
      <w:r>
        <w:t xml:space="preserve"> </w:t>
      </w:r>
      <w:r>
        <w:t xml:space="preserve">- контент, который мог бы дискредитировать компанию.</w:t>
      </w:r>
    </w:p>
    <w:bookmarkEnd w:id="13"/>
    <w:bookmarkStart w:id="14" w:name="установка-программного-обеспечения"/>
    <w:p>
      <w:pPr>
        <w:pStyle w:val="Heading3"/>
      </w:pPr>
      <w:r>
        <w:t xml:space="preserve">Установка программного обеспечения</w:t>
      </w:r>
    </w:p>
    <w:p>
      <w:pPr>
        <w:pStyle w:val="Compact"/>
        <w:numPr>
          <w:ilvl w:val="0"/>
          <w:numId w:val="1003"/>
        </w:numPr>
      </w:pPr>
      <w:r>
        <w:t xml:space="preserve">Одобренное ПО: [СПИСОК ИЛИ ССЫЛКА].</w:t>
      </w:r>
    </w:p>
    <w:p>
      <w:pPr>
        <w:pStyle w:val="Compact"/>
        <w:numPr>
          <w:ilvl w:val="0"/>
          <w:numId w:val="1003"/>
        </w:numPr>
      </w:pPr>
      <w:r>
        <w:t xml:space="preserve">Для запроса нового ПО: [ПРОЦЕДУРА].</w:t>
      </w:r>
    </w:p>
    <w:p>
      <w:pPr>
        <w:pStyle w:val="Compact"/>
        <w:numPr>
          <w:ilvl w:val="0"/>
          <w:numId w:val="1003"/>
        </w:numPr>
      </w:pPr>
      <w:r>
        <w:t xml:space="preserve">Не устанавливайте ПО из ненадёжных источников.</w:t>
      </w:r>
    </w:p>
    <w:p>
      <w:pPr>
        <w:pStyle w:val="Compact"/>
        <w:numPr>
          <w:ilvl w:val="0"/>
          <w:numId w:val="1003"/>
        </w:numPr>
      </w:pPr>
      <w:r>
        <w:t xml:space="preserve">Браузерные расширения — только из официальных магазинов.</w:t>
      </w:r>
    </w:p>
    <w:p>
      <w:pPr>
        <w:pStyle w:val="Compact"/>
        <w:numPr>
          <w:ilvl w:val="0"/>
          <w:numId w:val="1003"/>
        </w:numPr>
      </w:pPr>
      <w:r>
        <w:t xml:space="preserve">Разработчикам: менеджеры пакетов (npm, pip, cargo) разрешены</w:t>
      </w:r>
      <w:r>
        <w:t xml:space="preserve"> </w:t>
      </w:r>
      <w:r>
        <w:t xml:space="preserve">для рабочих проектов без согласования.</w:t>
      </w:r>
    </w:p>
    <w:bookmarkEnd w:id="14"/>
    <w:bookmarkStart w:id="15" w:name="личные-устройства-byod"/>
    <w:p>
      <w:pPr>
        <w:pStyle w:val="Heading3"/>
      </w:pPr>
      <w:r>
        <w:t xml:space="preserve">Личные устройства (BYOD)</w:t>
      </w:r>
    </w:p>
    <w:p>
      <w:pPr>
        <w:pStyle w:val="FirstParagraph"/>
      </w:pPr>
      <w:r>
        <w:t xml:space="preserve">При доступе к корпоративным данным с личного устройства:</w:t>
      </w:r>
      <w:r>
        <w:t xml:space="preserve"> </w:t>
      </w:r>
      <w:r>
        <w:t xml:space="preserve">- устройство должно быть защищено PIN-кодом или биометрией;</w:t>
      </w:r>
      <w:r>
        <w:t xml:space="preserve"> </w:t>
      </w:r>
      <w:r>
        <w:t xml:space="preserve">- обновления безопасности устанавливать в течение 1 недели;</w:t>
      </w:r>
      <w:r>
        <w:t xml:space="preserve"> </w:t>
      </w:r>
      <w:r>
        <w:t xml:space="preserve">- компания вправе удалённо стереть корпоративные данные</w:t>
      </w:r>
      <w:r>
        <w:t xml:space="preserve"> </w:t>
      </w:r>
      <w:r>
        <w:t xml:space="preserve">при утере или увольнении;</w:t>
      </w:r>
      <w:r>
        <w:t xml:space="preserve"> </w:t>
      </w:r>
      <w:r>
        <w:t xml:space="preserve">- не сохранять данные клиентов на личных устройствах;</w:t>
      </w:r>
      <w:r>
        <w:t xml:space="preserve"> </w:t>
      </w:r>
      <w:r>
        <w:t xml:space="preserve">- использовать [СОГЛАСОВАННОЕ MDM-РЕШЕНИЕ] для доступа к почте</w:t>
      </w:r>
      <w:r>
        <w:t xml:space="preserve"> </w:t>
      </w:r>
      <w:r>
        <w:t xml:space="preserve">с мобильного.</w:t>
      </w:r>
    </w:p>
    <w:bookmarkEnd w:id="15"/>
    <w:bookmarkStart w:id="16" w:name="удалённая-работа"/>
    <w:p>
      <w:pPr>
        <w:pStyle w:val="Heading3"/>
      </w:pPr>
      <w:r>
        <w:t xml:space="preserve">Удалённая работа</w:t>
      </w:r>
    </w:p>
    <w:p>
      <w:pPr>
        <w:pStyle w:val="Compact"/>
        <w:numPr>
          <w:ilvl w:val="0"/>
          <w:numId w:val="1004"/>
        </w:numPr>
      </w:pPr>
      <w:r>
        <w:t xml:space="preserve">При доступе к внутренним ресурсам — только через корпоративный VPN.</w:t>
      </w:r>
    </w:p>
    <w:p>
      <w:pPr>
        <w:pStyle w:val="Compact"/>
        <w:numPr>
          <w:ilvl w:val="0"/>
          <w:numId w:val="1004"/>
        </w:numPr>
      </w:pPr>
      <w:r>
        <w:t xml:space="preserve">Не работайте с конфиденциальными данными в общественных местах</w:t>
      </w:r>
      <w:r>
        <w:t xml:space="preserve"> </w:t>
      </w:r>
      <w:r>
        <w:t xml:space="preserve">(кафе, аэропорты).</w:t>
      </w:r>
    </w:p>
    <w:p>
      <w:pPr>
        <w:pStyle w:val="Compact"/>
        <w:numPr>
          <w:ilvl w:val="0"/>
          <w:numId w:val="1004"/>
        </w:numPr>
      </w:pPr>
      <w:r>
        <w:t xml:space="preserve">Защитите домашний Wi-Fi паролем и шифрованием WPA2/WPA3.</w:t>
      </w:r>
    </w:p>
    <w:p>
      <w:pPr>
        <w:pStyle w:val="Compact"/>
        <w:numPr>
          <w:ilvl w:val="0"/>
          <w:numId w:val="1004"/>
        </w:numPr>
      </w:pPr>
      <w:r>
        <w:t xml:space="preserve">Не позволяйте членам семьи пользоваться рабочими устройствами.</w:t>
      </w:r>
    </w:p>
    <w:bookmarkEnd w:id="16"/>
    <w:bookmarkStart w:id="17" w:name="обращение-с-данными"/>
    <w:p>
      <w:pPr>
        <w:pStyle w:val="Heading3"/>
      </w:pPr>
      <w:r>
        <w:t xml:space="preserve">Обращение с данными</w:t>
      </w:r>
    </w:p>
    <w:p>
      <w:pPr>
        <w:pStyle w:val="Compact"/>
        <w:numPr>
          <w:ilvl w:val="0"/>
          <w:numId w:val="1005"/>
        </w:numPr>
      </w:pPr>
      <w:r>
        <w:t xml:space="preserve">Считайте все данные клиентов конфиденциальными.</w:t>
      </w:r>
    </w:p>
    <w:p>
      <w:pPr>
        <w:pStyle w:val="Compact"/>
        <w:numPr>
          <w:ilvl w:val="0"/>
          <w:numId w:val="1005"/>
        </w:numPr>
      </w:pPr>
      <w:r>
        <w:t xml:space="preserve">Не передавайте корпоративные данные через личную почту или</w:t>
      </w:r>
      <w:r>
        <w:t xml:space="preserve"> </w:t>
      </w:r>
      <w:r>
        <w:t xml:space="preserve">личные мессенджеры.</w:t>
      </w:r>
    </w:p>
    <w:p>
      <w:pPr>
        <w:pStyle w:val="Compact"/>
        <w:numPr>
          <w:ilvl w:val="0"/>
          <w:numId w:val="1005"/>
        </w:numPr>
      </w:pPr>
      <w:r>
        <w:t xml:space="preserve">Используйте только одобренные инструменты для обмена файлами: [СПИСОК].</w:t>
      </w:r>
    </w:p>
    <w:p>
      <w:pPr>
        <w:pStyle w:val="Compact"/>
        <w:numPr>
          <w:ilvl w:val="0"/>
          <w:numId w:val="1005"/>
        </w:numPr>
      </w:pPr>
      <w:r>
        <w:t xml:space="preserve">Не копируйте данные компании в личное облачное хранилище.</w:t>
      </w:r>
    </w:p>
    <w:p>
      <w:pPr>
        <w:pStyle w:val="Compact"/>
        <w:numPr>
          <w:ilvl w:val="0"/>
          <w:numId w:val="1005"/>
        </w:numPr>
      </w:pPr>
      <w:r>
        <w:t xml:space="preserve">Подробнее — в Политике классификации данных.</w:t>
      </w:r>
    </w:p>
    <w:bookmarkEnd w:id="17"/>
    <w:bookmarkEnd w:id="18"/>
    <w:bookmarkStart w:id="19" w:name="мониторинг-компании"/>
    <w:p>
      <w:pPr>
        <w:pStyle w:val="Heading2"/>
      </w:pPr>
      <w:r>
        <w:t xml:space="preserve">Мониторинг компании</w:t>
      </w:r>
    </w:p>
    <w:p>
      <w:pPr>
        <w:pStyle w:val="FirstParagraph"/>
      </w:pPr>
      <w:r>
        <w:t xml:space="preserve">[НАЗВАНИЕ КОМПАНИИ] отслеживает корпоративные ресурсы в целях безопасности.</w:t>
      </w:r>
      <w:r>
        <w:t xml:space="preserve"> </w:t>
      </w:r>
      <w:r>
        <w:t xml:space="preserve">Это включает:</w:t>
      </w:r>
      <w:r>
        <w:t xml:space="preserve"> </w:t>
      </w:r>
      <w:r>
        <w:t xml:space="preserve">- электронную почту (содержание и метаданные);</w:t>
      </w:r>
      <w:r>
        <w:t xml:space="preserve"> </w:t>
      </w:r>
      <w:r>
        <w:t xml:space="preserve">- историю браузера на корпоративных устройствах;</w:t>
      </w:r>
      <w:r>
        <w:t xml:space="preserve"> </w:t>
      </w:r>
      <w:r>
        <w:t xml:space="preserve">- журналы доступа к файлам;</w:t>
      </w:r>
      <w:r>
        <w:t xml:space="preserve"> </w:t>
      </w:r>
      <w:r>
        <w:t xml:space="preserve">- время и источники входа в систему.</w:t>
      </w:r>
    </w:p>
    <w:p>
      <w:pPr>
        <w:pStyle w:val="BodyText"/>
      </w:pPr>
      <w:r>
        <w:t xml:space="preserve">Личные устройства мы не мониторим, кроме корпоративных приложений,</w:t>
      </w:r>
      <w:r>
        <w:t xml:space="preserve"> </w:t>
      </w:r>
      <w:r>
        <w:t xml:space="preserve">установленных на них.</w:t>
      </w:r>
    </w:p>
    <w:bookmarkEnd w:id="19"/>
    <w:bookmarkStart w:id="20" w:name="сообщение-о-нарушениях"/>
    <w:p>
      <w:pPr>
        <w:pStyle w:val="Heading2"/>
      </w:pPr>
      <w:r>
        <w:t xml:space="preserve">Сообщение о нарушениях</w:t>
      </w:r>
    </w:p>
    <w:p>
      <w:pPr>
        <w:pStyle w:val="FirstParagraph"/>
      </w:pPr>
      <w:r>
        <w:t xml:space="preserve">Сообщайте о нарушениях политики или проблемах безопасности: [КОНТАКТ].</w:t>
      </w:r>
      <w:r>
        <w:t xml:space="preserve"> </w:t>
      </w:r>
      <w:r>
        <w:t xml:space="preserve">Анонимные сообщения принимаются через: [МЕХАНИЗМ].</w:t>
      </w:r>
      <w:r>
        <w:t xml:space="preserve"> </w:t>
      </w:r>
      <w:r>
        <w:t xml:space="preserve">Преследования за добросовестные сообщения не будет.</w:t>
      </w:r>
    </w:p>
    <w:bookmarkEnd w:id="20"/>
    <w:bookmarkStart w:id="21" w:name="последствия-нарушений"/>
    <w:p>
      <w:pPr>
        <w:pStyle w:val="Heading2"/>
      </w:pPr>
      <w:r>
        <w:t xml:space="preserve">Последствия нарушений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00"/>
        <w:gridCol w:w="2420"/>
        <w:gridCol w:w="220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Тип нарушения</w:t>
            </w:r>
          </w:p>
        </w:tc>
        <w:tc>
          <w:tcPr/>
          <w:p>
            <w:pPr>
              <w:pStyle w:val="Compact"/>
            </w:pPr>
            <w:r>
              <w:t xml:space="preserve">Первый раз</w:t>
            </w:r>
          </w:p>
        </w:tc>
        <w:tc>
          <w:tcPr/>
          <w:p>
            <w:pPr>
              <w:pStyle w:val="Compact"/>
            </w:pPr>
            <w:r>
              <w:t xml:space="preserve">Повторно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Незначительное (напр., несогласованное ПО)</w:t>
            </w:r>
          </w:p>
        </w:tc>
        <w:tc>
          <w:tcPr/>
          <w:p>
            <w:pPr>
              <w:pStyle w:val="Compact"/>
            </w:pPr>
            <w:r>
              <w:t xml:space="preserve">Предупреждение + инструктаж</w:t>
            </w:r>
          </w:p>
        </w:tc>
        <w:tc>
          <w:tcPr/>
          <w:p>
            <w:pPr>
              <w:pStyle w:val="Compact"/>
            </w:pPr>
            <w:r>
              <w:t xml:space="preserve">Письменный выговор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Среднее (напр., передача реквизитов)</w:t>
            </w:r>
          </w:p>
        </w:tc>
        <w:tc>
          <w:tcPr/>
          <w:p>
            <w:pPr>
              <w:pStyle w:val="Compact"/>
            </w:pPr>
            <w:r>
              <w:t xml:space="preserve">Письменный выговор</w:t>
            </w:r>
          </w:p>
        </w:tc>
        <w:tc>
          <w:tcPr/>
          <w:p>
            <w:pPr>
              <w:pStyle w:val="Compact"/>
            </w:pPr>
            <w:r>
              <w:t xml:space="preserve">Возможна приостановка допуска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Серьёзное (напр., утечка данных, заражение)</w:t>
            </w:r>
          </w:p>
        </w:tc>
        <w:tc>
          <w:tcPr/>
          <w:p>
            <w:pPr>
              <w:pStyle w:val="Compact"/>
            </w:pPr>
            <w:r>
              <w:t xml:space="preserve">Возможно увольнение</w:t>
            </w:r>
          </w:p>
        </w:tc>
        <w:tc>
          <w:tcPr/>
          <w:p>
            <w:pPr>
              <w:pStyle w:val="Compact"/>
            </w:pPr>
            <w:r>
              <w:t xml:space="preserve">Увольнение</w:t>
            </w:r>
          </w:p>
        </w:tc>
      </w:tr>
    </w:tbl>
    <w:p>
      <w:pPr>
        <w:pStyle w:val="BodyText"/>
      </w:pPr>
      <w:r>
        <w:t xml:space="preserve">Тяжесть нарушения определяет [РОЛЬ, напр., HR совместно с лидером безопасности].</w:t>
      </w:r>
    </w:p>
    <w:bookmarkEnd w:id="21"/>
    <w:bookmarkStart w:id="22" w:name="вопросы"/>
    <w:p>
      <w:pPr>
        <w:pStyle w:val="Heading2"/>
      </w:pPr>
      <w:r>
        <w:t xml:space="preserve">Вопросы</w:t>
      </w:r>
    </w:p>
    <w:p>
      <w:pPr>
        <w:pStyle w:val="FirstParagraph"/>
      </w:pPr>
      <w:r>
        <w:t xml:space="preserve">Обращайтесь к [ЛИДЕР БЕЗОПАСНОСТИ] по адресу [EMAIL].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Ознакомление</w:t>
      </w:r>
    </w:p>
    <w:p>
      <w:pPr>
        <w:pStyle w:val="BodyText"/>
      </w:pPr>
      <w:r>
        <w:t xml:space="preserve">Я прочитал(а) и понял(а) Политику допустимого использования [НАЗВАНИЕ КОМПАНИИ].</w:t>
      </w:r>
    </w:p>
    <w:p>
      <w:pPr>
        <w:pStyle w:val="BodyText"/>
      </w:pPr>
      <w:r>
        <w:t xml:space="preserve">ФИО: ____________________</w:t>
      </w:r>
      <w:r>
        <w:t xml:space="preserve"> </w:t>
      </w:r>
      <w:r>
        <w:t xml:space="preserve">Подпись: _________________</w:t>
      </w:r>
      <w:r>
        <w:t xml:space="preserve"> </w:t>
      </w:r>
      <w:r>
        <w:t xml:space="preserve">Дата: ____________________</w:t>
      </w:r>
    </w:p>
    <w:bookmarkEnd w:id="22"/>
    <w:sectPr>
      <w:footnotePr>
        <w:numRestart w:val="eachSect"/>
      </w:footnotePr>
      <w:pgSz w:h="16838" w:w="11906"/>
      <w:pgMar w:bottom="1134" w:left="1417" w:right="85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60" w:line="276" w:lineRule="auto"/>
    </w:pPr>
    <w:rPr>
      <w:rFonts w:ascii="Arial" w:cs="Arial" w:eastAsia="Arial" w:hAnsi="Arial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200" w:before="360" w:line="276" w:lineRule="auto"/>
      <w:outlineLvl w:val="0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36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160" w:before="280" w:line="276" w:lineRule="auto"/>
      <w:outlineLvl w:val="1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28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120" w:before="240" w:line="276" w:lineRule="auto"/>
      <w:outlineLvl w:val="2"/>
    </w:pPr>
    <w:rPr>
      <w:rFonts w:ascii="Arial" w:cs="Arial" w:cstheme="majorBidi" w:eastAsia="Arial" w:eastAsiaTheme="majorEastAsia" w:hAnsi="Arial"/>
      <w:b/>
      <w:color w:val="1A1A1A"/>
      <w:sz w:val="24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80" w:before="200" w:line="276" w:lineRule="auto"/>
      <w:outlineLvl w:val="3"/>
    </w:pPr>
    <w:rPr>
      <w:rFonts w:ascii="Arial" w:cs="Arial" w:cstheme="majorBidi" w:eastAsia="Arial" w:eastAsiaTheme="majorEastAsia" w:hAnsi="Arial"/>
      <w:b/>
      <w:i/>
      <w:iCs/>
      <w:color w:val="1A1A1A"/>
      <w:sz w:val="22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допустимого использования [НАЗВАНИЕ КОМПАНИИ]</dc:title>
  <dc:creator>ООО Пассворк</dc:creator>
  <cp:keywords/>
  <dcterms:created xsi:type="dcterms:W3CDTF">2026-08-07T06:43:42Z</dcterms:created>
  <dcterms:modified xsi:type="dcterms:W3CDTF">2026-08-07T06:43:42Z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