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Отчёт по безопасности — I квартал 2025</w:t>
      </w:r>
    </w:p>
    <w:bookmarkStart w:id="9" w:name="резюме-для-руководства"/>
    <w:p>
      <w:pPr>
        <w:pStyle w:val="Heading2"/>
      </w:pPr>
      <w:r>
        <w:t xml:space="preserve">Резюме для руководства</w:t>
      </w:r>
    </w:p>
    <w:p>
      <w:pPr>
        <w:pStyle w:val="FirstParagraph"/>
      </w:pPr>
      <w:r>
        <w:t xml:space="preserve">I квартал был результативным с точки зрения безопасности. Закрыто</w:t>
      </w:r>
      <w:r>
        <w:t xml:space="preserve"> </w:t>
      </w:r>
      <w:r>
        <w:t xml:space="preserve">52 уязвимости, количество инцидентов снизилось на 20%, достигнут</w:t>
      </w:r>
      <w:r>
        <w:t xml:space="preserve"> </w:t>
      </w:r>
      <w:r>
        <w:t xml:space="preserve">целевой охват МФА для критических систем. Два направления требуют</w:t>
      </w:r>
      <w:r>
        <w:t xml:space="preserve"> </w:t>
      </w:r>
      <w:r>
        <w:t xml:space="preserve">внимания: завершение охвата МФА в CRM и прохождение обучения.</w:t>
      </w:r>
    </w:p>
    <w:bookmarkEnd w:id="9"/>
    <w:bookmarkStart w:id="12" w:name="ключевые-метрики"/>
    <w:p>
      <w:pPr>
        <w:pStyle w:val="Heading2"/>
      </w:pPr>
      <w:r>
        <w:t xml:space="preserve">Ключевые метрики</w:t>
      </w:r>
    </w:p>
    <w:bookmarkStart w:id="10" w:name="состояние-защиты"/>
    <w:p>
      <w:pPr>
        <w:pStyle w:val="Heading3"/>
      </w:pPr>
      <w:r>
        <w:t xml:space="preserve">Состояние защиты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Метрика</w:t>
            </w:r>
          </w:p>
        </w:tc>
        <w:tc>
          <w:tcPr/>
          <w:p>
            <w:pPr>
              <w:pStyle w:val="Compact"/>
            </w:pPr>
            <w:r>
              <w:t xml:space="preserve">IV кв. 2024</w:t>
            </w:r>
          </w:p>
        </w:tc>
        <w:tc>
          <w:tcPr/>
          <w:p>
            <w:pPr>
              <w:pStyle w:val="Compact"/>
            </w:pPr>
            <w:r>
              <w:t xml:space="preserve">I кв. 2025</w:t>
            </w:r>
          </w:p>
        </w:tc>
        <w:tc>
          <w:tcPr/>
          <w:p>
            <w:pPr>
              <w:pStyle w:val="Compact"/>
            </w:pPr>
            <w:r>
              <w:t xml:space="preserve">Цель</w:t>
            </w:r>
          </w:p>
        </w:tc>
        <w:tc>
          <w:tcPr/>
          <w:p>
            <w:pPr>
              <w:pStyle w:val="Compact"/>
            </w:pPr>
            <w:r>
              <w:t xml:space="preserve">Статус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Критические уязвимости</w:t>
            </w:r>
          </w:p>
        </w:tc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✓ Достигнуто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Высокие уязвимости</w:t>
            </w:r>
          </w:p>
        </w:tc>
        <w:tc>
          <w:tcPr/>
          <w:p>
            <w:pPr>
              <w:pStyle w:val="Compact"/>
            </w:pPr>
            <w:r>
              <w:t xml:space="preserve">12</w:t>
            </w:r>
          </w:p>
        </w:tc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менее 10</w:t>
            </w:r>
          </w:p>
        </w:tc>
        <w:tc>
          <w:tcPr/>
          <w:p>
            <w:pPr>
              <w:pStyle w:val="Compact"/>
            </w:pPr>
            <w:r>
              <w:t xml:space="preserve">✓ Достигнуто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MTTR (критические)</w:t>
            </w:r>
          </w:p>
        </w:tc>
        <w:tc>
          <w:tcPr/>
          <w:p>
            <w:pPr>
              <w:pStyle w:val="Compact"/>
            </w:pPr>
            <w:r>
              <w:t xml:space="preserve">8 дней</w:t>
            </w:r>
          </w:p>
        </w:tc>
        <w:tc>
          <w:tcPr/>
          <w:p>
            <w:pPr>
              <w:pStyle w:val="Compact"/>
            </w:pPr>
            <w:r>
              <w:t xml:space="preserve">2,5 дня</w:t>
            </w:r>
          </w:p>
        </w:tc>
        <w:tc>
          <w:tcPr/>
          <w:p>
            <w:pPr>
              <w:pStyle w:val="Compact"/>
            </w:pPr>
            <w:r>
              <w:t xml:space="preserve">менее 7 дней</w:t>
            </w:r>
          </w:p>
        </w:tc>
        <w:tc>
          <w:tcPr/>
          <w:p>
            <w:pPr>
              <w:pStyle w:val="Compact"/>
            </w:pPr>
            <w:r>
              <w:t xml:space="preserve">✓ Достигнуто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Охват МФА</w:t>
            </w:r>
          </w:p>
        </w:tc>
        <w:tc>
          <w:tcPr/>
          <w:p>
            <w:pPr>
              <w:pStyle w:val="Compact"/>
            </w:pPr>
            <w:r>
              <w:t xml:space="preserve">94%</w:t>
            </w:r>
          </w:p>
        </w:tc>
        <w:tc>
          <w:tcPr/>
          <w:p>
            <w:pPr>
              <w:pStyle w:val="Compact"/>
            </w:pPr>
            <w:r>
              <w:t xml:space="preserve">97%</w:t>
            </w:r>
          </w:p>
        </w:tc>
        <w:tc>
          <w:tcPr/>
          <w:p>
            <w:pPr>
              <w:pStyle w:val="Compact"/>
            </w:pPr>
            <w:r>
              <w:t xml:space="preserve">95%</w:t>
            </w:r>
          </w:p>
        </w:tc>
        <w:tc>
          <w:tcPr/>
          <w:p>
            <w:pPr>
              <w:pStyle w:val="Compact"/>
            </w:pPr>
            <w:r>
              <w:t xml:space="preserve">✓ Достигнуто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Кликабельность при фишинге</w:t>
            </w:r>
          </w:p>
        </w:tc>
        <w:tc>
          <w:tcPr/>
          <w:p>
            <w:pPr>
              <w:pStyle w:val="Compact"/>
            </w:pPr>
            <w:r>
              <w:t xml:space="preserve">7%</w:t>
            </w:r>
          </w:p>
        </w:tc>
        <w:tc>
          <w:tcPr/>
          <w:p>
            <w:pPr>
              <w:pStyle w:val="Compact"/>
            </w:pPr>
            <w:r>
              <w:t xml:space="preserve">4%</w:t>
            </w:r>
          </w:p>
        </w:tc>
        <w:tc>
          <w:tcPr/>
          <w:p>
            <w:pPr>
              <w:pStyle w:val="Compact"/>
            </w:pPr>
            <w:r>
              <w:t xml:space="preserve">менее 5%</w:t>
            </w:r>
          </w:p>
        </w:tc>
        <w:tc>
          <w:tcPr/>
          <w:p>
            <w:pPr>
              <w:pStyle w:val="Compact"/>
            </w:pPr>
            <w:r>
              <w:t xml:space="preserve">✓ Достигнуто</w:t>
            </w:r>
          </w:p>
        </w:tc>
      </w:tr>
    </w:tbl>
    <w:bookmarkEnd w:id="10"/>
    <w:bookmarkStart w:id="11" w:name="анализ-трендов"/>
    <w:p>
      <w:pPr>
        <w:pStyle w:val="Heading3"/>
      </w:pPr>
      <w:r>
        <w:t xml:space="preserve">Анализ трендов</w:t>
      </w:r>
    </w:p>
    <w:p>
      <w:pPr>
        <w:pStyle w:val="FirstParagraph"/>
      </w:pPr>
      <w:r>
        <w:t xml:space="preserve">[Вставьте мини-графики или простые таблицы трендов за 4 квартала]</w:t>
      </w:r>
    </w:p>
    <w:bookmarkEnd w:id="11"/>
    <w:bookmarkEnd w:id="12"/>
    <w:bookmarkStart w:id="15" w:name="достижения"/>
    <w:p>
      <w:pPr>
        <w:pStyle w:val="Heading2"/>
      </w:pPr>
      <w:r>
        <w:t xml:space="preserve">Достижения</w:t>
      </w:r>
    </w:p>
    <w:bookmarkStart w:id="13" w:name="завершённые-инициативы"/>
    <w:p>
      <w:pPr>
        <w:pStyle w:val="Heading3"/>
      </w:pPr>
      <w:r>
        <w:t xml:space="preserve">Завершённые инициативы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Автоматическое сканирование зависимостей</w:t>
      </w:r>
      <w:r>
        <w:t xml:space="preserve"> </w:t>
      </w:r>
      <w:r>
        <w:t xml:space="preserve">— теперь работает во всех</w:t>
      </w:r>
      <w:r>
        <w:t xml:space="preserve"> </w:t>
      </w:r>
      <w:r>
        <w:t xml:space="preserve">репозиториях, перехватывает уязвимые пакеты до выпуска в продакшн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МФА для администраторов</w:t>
      </w:r>
      <w:r>
        <w:t xml:space="preserve"> </w:t>
      </w:r>
      <w:r>
        <w:t xml:space="preserve">— 100% административных учётных записей</w:t>
      </w:r>
      <w:r>
        <w:t xml:space="preserve"> </w:t>
      </w:r>
      <w:r>
        <w:t xml:space="preserve">теперь используют аппаратные ключи (Рутокен)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Улучшение реагирования на инциденты</w:t>
      </w:r>
      <w:r>
        <w:t xml:space="preserve"> </w:t>
      </w:r>
      <w:r>
        <w:t xml:space="preserve">— MTTR критических снижен</w:t>
      </w:r>
      <w:r>
        <w:t xml:space="preserve"> </w:t>
      </w:r>
      <w:r>
        <w:t xml:space="preserve">с 8 до 2,5 дней за счёт обновлённых рунбуков</w:t>
      </w:r>
    </w:p>
    <w:bookmarkEnd w:id="13"/>
    <w:bookmarkStart w:id="14" w:name="улучшение-метрик"/>
    <w:p>
      <w:pPr>
        <w:pStyle w:val="Heading3"/>
      </w:pPr>
      <w:r>
        <w:t xml:space="preserve">Улучшение метрик</w:t>
      </w:r>
    </w:p>
    <w:p>
      <w:pPr>
        <w:pStyle w:val="Compact"/>
        <w:numPr>
          <w:ilvl w:val="0"/>
          <w:numId w:val="1002"/>
        </w:numPr>
      </w:pPr>
      <w:r>
        <w:t xml:space="preserve">Закрыто 52 уязвимости (против 45 в прошлом квартале)</w:t>
      </w:r>
    </w:p>
    <w:p>
      <w:pPr>
        <w:pStyle w:val="Compact"/>
        <w:numPr>
          <w:ilvl w:val="0"/>
          <w:numId w:val="1002"/>
        </w:numPr>
      </w:pPr>
      <w:r>
        <w:t xml:space="preserve">Инциденты снизились на 20% (15 против 19)</w:t>
      </w:r>
    </w:p>
    <w:p>
      <w:pPr>
        <w:pStyle w:val="Compact"/>
        <w:numPr>
          <w:ilvl w:val="0"/>
          <w:numId w:val="1002"/>
        </w:numPr>
      </w:pPr>
      <w:r>
        <w:t xml:space="preserve">Кликабельность при фишинге: 4% (против 7%)</w:t>
      </w:r>
    </w:p>
    <w:bookmarkEnd w:id="14"/>
    <w:bookmarkEnd w:id="15"/>
    <w:bookmarkStart w:id="18" w:name="инциденты"/>
    <w:p>
      <w:pPr>
        <w:pStyle w:val="Heading2"/>
      </w:pPr>
      <w:r>
        <w:t xml:space="preserve">Инциденты</w:t>
      </w:r>
    </w:p>
    <w:bookmarkStart w:id="16" w:name="сводка"/>
    <w:p>
      <w:pPr>
        <w:pStyle w:val="Heading3"/>
      </w:pPr>
      <w:r>
        <w:t xml:space="preserve">Сводка</w:t>
      </w:r>
    </w:p>
    <w:p>
      <w:pPr>
        <w:pStyle w:val="Compact"/>
        <w:numPr>
          <w:ilvl w:val="0"/>
          <w:numId w:val="1003"/>
        </w:numPr>
      </w:pPr>
      <w:r>
        <w:t xml:space="preserve">Всего инцидентов: 15 (снижение с 19)</w:t>
      </w:r>
    </w:p>
    <w:p>
      <w:pPr>
        <w:pStyle w:val="Compact"/>
        <w:numPr>
          <w:ilvl w:val="0"/>
          <w:numId w:val="1003"/>
        </w:numPr>
      </w:pPr>
      <w:r>
        <w:t xml:space="preserve">Критические: 0 | Высокие: 2 | Средние: 5 | Низкие: 8</w:t>
      </w:r>
    </w:p>
    <w:bookmarkEnd w:id="16"/>
    <w:bookmarkStart w:id="17" w:name="значимые-инциденты"/>
    <w:p>
      <w:pPr>
        <w:pStyle w:val="Heading3"/>
      </w:pPr>
      <w:r>
        <w:t xml:space="preserve">Значимые инциденты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Скомпрометирована учётная запись подрядчика (высокий)</w:t>
      </w:r>
      <w:r>
        <w:t xml:space="preserve"> </w:t>
      </w:r>
      <w:r>
        <w:t xml:space="preserve">— 12 февраля</w:t>
      </w:r>
    </w:p>
    <w:p>
      <w:pPr>
        <w:pStyle w:val="Compact"/>
        <w:numPr>
          <w:ilvl w:val="1"/>
          <w:numId w:val="1005"/>
        </w:numPr>
      </w:pPr>
      <w:r>
        <w:t xml:space="preserve">Обнаружен за 2 часа, локализован за 4 часа</w:t>
      </w:r>
    </w:p>
    <w:p>
      <w:pPr>
        <w:pStyle w:val="Compact"/>
        <w:numPr>
          <w:ilvl w:val="1"/>
          <w:numId w:val="1005"/>
        </w:numPr>
      </w:pPr>
      <w:r>
        <w:t xml:space="preserve">Данные клиентов не затронуты</w:t>
      </w:r>
    </w:p>
    <w:p>
      <w:pPr>
        <w:pStyle w:val="Compact"/>
        <w:numPr>
          <w:ilvl w:val="1"/>
          <w:numId w:val="1005"/>
        </w:numPr>
      </w:pPr>
      <w:r>
        <w:t xml:space="preserve">Корневая причина: общие реквизиты; исправлено переходом</w:t>
      </w:r>
      <w:r>
        <w:t xml:space="preserve"> </w:t>
      </w:r>
      <w:r>
        <w:t xml:space="preserve">на индивидуальные учётные записи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Фишинговая кампания на финансовый отдел (средний)</w:t>
      </w:r>
      <w:r>
        <w:t xml:space="preserve"> </w:t>
      </w:r>
      <w:r>
        <w:t xml:space="preserve">— 5 марта</w:t>
      </w:r>
    </w:p>
    <w:p>
      <w:pPr>
        <w:pStyle w:val="Compact"/>
        <w:numPr>
          <w:ilvl w:val="1"/>
          <w:numId w:val="1006"/>
        </w:numPr>
      </w:pPr>
      <w:r>
        <w:t xml:space="preserve">3 человека кликнули, 8 сообщили</w:t>
      </w:r>
    </w:p>
    <w:p>
      <w:pPr>
        <w:pStyle w:val="Compact"/>
        <w:numPr>
          <w:ilvl w:val="1"/>
          <w:numId w:val="1006"/>
        </w:numPr>
      </w:pPr>
      <w:r>
        <w:t xml:space="preserve">Компрометации реквизитов нет</w:t>
      </w:r>
    </w:p>
    <w:p>
      <w:pPr>
        <w:pStyle w:val="Compact"/>
        <w:numPr>
          <w:ilvl w:val="1"/>
          <w:numId w:val="1006"/>
        </w:numPr>
      </w:pPr>
      <w:r>
        <w:t xml:space="preserve">Реакция: дополнительное обучение для финансового отдела</w:t>
      </w:r>
    </w:p>
    <w:bookmarkEnd w:id="17"/>
    <w:bookmarkEnd w:id="18"/>
    <w:bookmarkStart w:id="21" w:name="риски"/>
    <w:p>
      <w:pPr>
        <w:pStyle w:val="Heading2"/>
      </w:pPr>
      <w:r>
        <w:t xml:space="preserve">Риски</w:t>
      </w:r>
    </w:p>
    <w:bookmarkStart w:id="19" w:name="вопросы-требующие-внимания"/>
    <w:p>
      <w:pPr>
        <w:pStyle w:val="Heading3"/>
      </w:pPr>
      <w:r>
        <w:t xml:space="preserve">Вопросы, требующие внимания</w:t>
      </w:r>
    </w:p>
    <w:p>
      <w:pPr>
        <w:pStyle w:val="Compact"/>
        <w:numPr>
          <w:ilvl w:val="0"/>
          <w:numId w:val="1007"/>
        </w:numPr>
      </w:pPr>
      <w:r>
        <w:rPr>
          <w:b/>
          <w:bCs/>
        </w:rPr>
        <w:t xml:space="preserve">МФА в CRM (средний приоритет)</w:t>
      </w:r>
    </w:p>
    <w:p>
      <w:pPr>
        <w:pStyle w:val="Compact"/>
        <w:numPr>
          <w:ilvl w:val="1"/>
          <w:numId w:val="1008"/>
        </w:numPr>
      </w:pPr>
      <w:r>
        <w:t xml:space="preserve">Текущий охват: 83%</w:t>
      </w:r>
    </w:p>
    <w:p>
      <w:pPr>
        <w:pStyle w:val="Compact"/>
        <w:numPr>
          <w:ilvl w:val="1"/>
          <w:numId w:val="1008"/>
        </w:numPr>
      </w:pPr>
      <w:r>
        <w:t xml:space="preserve">Блокер: у 3 пользователей несовместимые мобильные устройства</w:t>
      </w:r>
    </w:p>
    <w:p>
      <w:pPr>
        <w:pStyle w:val="Compact"/>
        <w:numPr>
          <w:ilvl w:val="1"/>
          <w:numId w:val="1008"/>
        </w:numPr>
      </w:pPr>
      <w:r>
        <w:t xml:space="preserve">План: замена устройств или настройка альтернативного МФА до 15 апреля</w:t>
      </w:r>
    </w:p>
    <w:p>
      <w:pPr>
        <w:pStyle w:val="Compact"/>
        <w:numPr>
          <w:ilvl w:val="0"/>
          <w:numId w:val="1007"/>
        </w:numPr>
      </w:pPr>
      <w:r>
        <w:rPr>
          <w:b/>
          <w:bCs/>
        </w:rPr>
        <w:t xml:space="preserve">Прохождение обучения (средний приоритет)</w:t>
      </w:r>
    </w:p>
    <w:p>
      <w:pPr>
        <w:pStyle w:val="Compact"/>
        <w:numPr>
          <w:ilvl w:val="1"/>
          <w:numId w:val="1009"/>
        </w:numPr>
      </w:pPr>
      <w:r>
        <w:t xml:space="preserve">Текущий охват: 88%</w:t>
      </w:r>
    </w:p>
    <w:p>
      <w:pPr>
        <w:pStyle w:val="Compact"/>
        <w:numPr>
          <w:ilvl w:val="1"/>
          <w:numId w:val="1009"/>
        </w:numPr>
      </w:pPr>
      <w:r>
        <w:t xml:space="preserve">Блокер: новые сотрудники в очереди на онбординг</w:t>
      </w:r>
    </w:p>
    <w:p>
      <w:pPr>
        <w:pStyle w:val="Compact"/>
        <w:numPr>
          <w:ilvl w:val="1"/>
          <w:numId w:val="1009"/>
        </w:numPr>
      </w:pPr>
      <w:r>
        <w:t xml:space="preserve">План: завершить до 30 апреля</w:t>
      </w:r>
    </w:p>
    <w:bookmarkEnd w:id="19"/>
    <w:bookmarkStart w:id="20" w:name="новые-риски"/>
    <w:p>
      <w:pPr>
        <w:pStyle w:val="Heading3"/>
      </w:pPr>
      <w:r>
        <w:t xml:space="preserve">Новые риски</w:t>
      </w:r>
    </w:p>
    <w:p>
      <w:pPr>
        <w:pStyle w:val="Compact"/>
        <w:numPr>
          <w:ilvl w:val="0"/>
          <w:numId w:val="1010"/>
        </w:numPr>
      </w:pPr>
      <w:r>
        <w:t xml:space="preserve">Усиление атак на компании нашей отрасли (по данным Positive Technologies)</w:t>
      </w:r>
    </w:p>
    <w:p>
      <w:pPr>
        <w:pStyle w:val="Compact"/>
        <w:numPr>
          <w:ilvl w:val="0"/>
          <w:numId w:val="1010"/>
        </w:numPr>
      </w:pPr>
      <w:r>
        <w:t xml:space="preserve">Новые уязвимости в часто используемых библиотеках JavaScript</w:t>
      </w:r>
    </w:p>
    <w:bookmarkEnd w:id="20"/>
    <w:bookmarkEnd w:id="21"/>
    <w:bookmarkStart w:id="22" w:name="использование-ресурсов"/>
    <w:p>
      <w:pPr>
        <w:pStyle w:val="Heading2"/>
      </w:pPr>
      <w:r>
        <w:t xml:space="preserve">Использование ресурсов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Инициатива</w:t>
            </w:r>
          </w:p>
        </w:tc>
        <w:tc>
          <w:tcPr/>
          <w:p>
            <w:pPr>
              <w:pStyle w:val="Compact"/>
            </w:pPr>
            <w:r>
              <w:t xml:space="preserve">Плановые часы</w:t>
            </w:r>
          </w:p>
        </w:tc>
        <w:tc>
          <w:tcPr/>
          <w:p>
            <w:pPr>
              <w:pStyle w:val="Compact"/>
            </w:pPr>
            <w:r>
              <w:t xml:space="preserve">Фактические часы</w:t>
            </w:r>
          </w:p>
        </w:tc>
        <w:tc>
          <w:tcPr/>
          <w:p>
            <w:pPr>
              <w:pStyle w:val="Compact"/>
            </w:pPr>
            <w:r>
              <w:t xml:space="preserve">Примечания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Устранение уязвимостей</w:t>
            </w:r>
          </w:p>
        </w:tc>
        <w:tc>
          <w:tcPr/>
          <w:p>
            <w:pPr>
              <w:pStyle w:val="Compact"/>
            </w:pPr>
            <w:r>
              <w:t xml:space="preserve">80</w:t>
            </w:r>
          </w:p>
        </w:tc>
        <w:tc>
          <w:tcPr/>
          <w:p>
            <w:pPr>
              <w:pStyle w:val="Compact"/>
            </w:pPr>
            <w:r>
              <w:t xml:space="preserve">75</w:t>
            </w:r>
          </w:p>
        </w:tc>
        <w:tc>
          <w:tcPr/>
          <w:p>
            <w:pPr>
              <w:pStyle w:val="Compact"/>
            </w:pPr>
            <w:r>
              <w:t xml:space="preserve">В плане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Обучение по безопасности</w:t>
            </w:r>
          </w:p>
        </w:tc>
        <w:tc>
          <w:tcPr/>
          <w:p>
            <w:pPr>
              <w:pStyle w:val="Compact"/>
            </w:pPr>
            <w:r>
              <w:t xml:space="preserve">20</w:t>
            </w:r>
          </w:p>
        </w:tc>
        <w:tc>
          <w:tcPr/>
          <w:p>
            <w:pPr>
              <w:pStyle w:val="Compact"/>
            </w:pPr>
            <w:r>
              <w:t xml:space="preserve">25</w:t>
            </w:r>
          </w:p>
        </w:tc>
        <w:tc>
          <w:tcPr/>
          <w:p>
            <w:pPr>
              <w:pStyle w:val="Compact"/>
            </w:pPr>
            <w:r>
              <w:t xml:space="preserve">Дополнительные сессии запрошены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Реагирование на инциденты</w:t>
            </w:r>
          </w:p>
        </w:tc>
        <w:tc>
          <w:tcPr/>
          <w:p>
            <w:pPr>
              <w:pStyle w:val="Compact"/>
            </w:pPr>
            <w:r>
              <w:t xml:space="preserve">40</w:t>
            </w:r>
          </w:p>
        </w:tc>
        <w:tc>
          <w:tcPr/>
          <w:p>
            <w:pPr>
              <w:pStyle w:val="Compact"/>
            </w:pPr>
            <w:r>
              <w:t xml:space="preserve">35</w:t>
            </w:r>
          </w:p>
        </w:tc>
        <w:tc>
          <w:tcPr/>
          <w:p>
            <w:pPr>
              <w:pStyle w:val="Compact"/>
            </w:pPr>
            <w:r>
              <w:t xml:space="preserve">Меньше инцидентов</w:t>
            </w:r>
          </w:p>
        </w:tc>
      </w:tr>
      <w:tr>
        <w:tc>
          <w:tcPr/>
          <w:p>
            <w:pPr>
              <w:pStyle w:val="Compact"/>
            </w:pPr>
            <w:r>
              <w:t xml:space="preserve">Обновление политик</w:t>
            </w:r>
          </w:p>
        </w:tc>
        <w:tc>
          <w:tcPr/>
          <w:p>
            <w:pPr>
              <w:pStyle w:val="Compact"/>
            </w:pPr>
            <w:r>
              <w:t xml:space="preserve">20</w:t>
            </w:r>
          </w:p>
        </w:tc>
        <w:tc>
          <w:tcPr/>
          <w:p>
            <w:pPr>
              <w:pStyle w:val="Compact"/>
            </w:pPr>
            <w:r>
              <w:t xml:space="preserve">15</w:t>
            </w:r>
          </w:p>
        </w:tc>
        <w:tc>
          <w:tcPr/>
          <w:p>
            <w:pPr>
              <w:pStyle w:val="Compact"/>
            </w:pPr>
            <w:r>
              <w:t xml:space="preserve">Завершено досрочно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Оценка инструментов</w:t>
            </w:r>
          </w:p>
        </w:tc>
        <w:tc>
          <w:tcPr/>
          <w:p>
            <w:pPr>
              <w:pStyle w:val="Compact"/>
            </w:pPr>
            <w:r>
              <w:t xml:space="preserve">20</w:t>
            </w:r>
          </w:p>
        </w:tc>
        <w:tc>
          <w:tcPr/>
          <w:p>
            <w:pPr>
              <w:pStyle w:val="Compact"/>
            </w:pPr>
            <w:r>
              <w:t xml:space="preserve">30</w:t>
            </w:r>
          </w:p>
        </w:tc>
        <w:tc>
          <w:tcPr/>
          <w:p>
            <w:pPr>
              <w:pStyle w:val="Compact"/>
            </w:pPr>
            <w:r>
              <w:t xml:space="preserve">Расширенная оценка SIEM</w:t>
            </w:r>
          </w:p>
        </w:tc>
      </w:tr>
    </w:tbl>
    <w:bookmarkEnd w:id="22"/>
    <w:bookmarkStart w:id="25" w:name="план-на-следующий-квартал"/>
    <w:p>
      <w:pPr>
        <w:pStyle w:val="Heading2"/>
      </w:pPr>
      <w:r>
        <w:t xml:space="preserve">План на следующий квартал</w:t>
      </w:r>
    </w:p>
    <w:bookmarkStart w:id="23" w:name="приоритеты-ii-квартала-2025"/>
    <w:p>
      <w:pPr>
        <w:pStyle w:val="Heading3"/>
      </w:pPr>
      <w:r>
        <w:t xml:space="preserve">Приоритеты II квартала 2025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Завершить охват МФА</w:t>
      </w:r>
      <w:r>
        <w:t xml:space="preserve"> </w:t>
      </w:r>
      <w:r>
        <w:t xml:space="preserve">— 100% включая CRM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Безопасность контейнеров</w:t>
      </w:r>
      <w:r>
        <w:t xml:space="preserve"> </w:t>
      </w:r>
      <w:r>
        <w:t xml:space="preserve">— внедрить сканирование образов в CI/CD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Развитие программы лидера безопасности</w:t>
      </w:r>
      <w:r>
        <w:t xml:space="preserve"> </w:t>
      </w:r>
      <w:r>
        <w:t xml:space="preserve">— обучить 2 дополнительных лидера безопасности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Учебная тревога</w:t>
      </w:r>
      <w:r>
        <w:t xml:space="preserve"> </w:t>
      </w:r>
      <w:r>
        <w:t xml:space="preserve">— квартальная отработка реагирования</w:t>
      </w:r>
    </w:p>
    <w:bookmarkEnd w:id="23"/>
    <w:bookmarkStart w:id="24" w:name="контрольные-точки"/>
    <w:p>
      <w:pPr>
        <w:pStyle w:val="Heading3"/>
      </w:pPr>
      <w:r>
        <w:t xml:space="preserve">Контрольные точки</w:t>
      </w:r>
    </w:p>
    <w:p>
      <w:pPr>
        <w:pStyle w:val="Compact"/>
        <w:numPr>
          <w:ilvl w:val="0"/>
          <w:numId w:val="1012"/>
        </w:numPr>
      </w:pPr>
      <w:r>
        <w:t xml:space="preserve">15 апреля: МФА в CRM завершён</w:t>
      </w:r>
    </w:p>
    <w:p>
      <w:pPr>
        <w:pStyle w:val="Compact"/>
        <w:numPr>
          <w:ilvl w:val="0"/>
          <w:numId w:val="1012"/>
        </w:numPr>
      </w:pPr>
      <w:r>
        <w:t xml:space="preserve">30 апреля: 100% прохождение обучения</w:t>
      </w:r>
    </w:p>
    <w:p>
      <w:pPr>
        <w:pStyle w:val="Compact"/>
        <w:numPr>
          <w:ilvl w:val="0"/>
          <w:numId w:val="1012"/>
        </w:numPr>
      </w:pPr>
      <w:r>
        <w:t xml:space="preserve">15 мая: сканирование контейнеров внедрено</w:t>
      </w:r>
    </w:p>
    <w:p>
      <w:pPr>
        <w:pStyle w:val="Compact"/>
        <w:numPr>
          <w:ilvl w:val="0"/>
          <w:numId w:val="1012"/>
        </w:numPr>
      </w:pPr>
      <w:r>
        <w:t xml:space="preserve">1 июня: новые лидеры безопасности введены в роль</w:t>
      </w:r>
    </w:p>
    <w:bookmarkEnd w:id="24"/>
    <w:bookmarkEnd w:id="25"/>
    <w:bookmarkStart w:id="26" w:name="бюджет"/>
    <w:p>
      <w:pPr>
        <w:pStyle w:val="Heading2"/>
      </w:pPr>
      <w:r>
        <w:t xml:space="preserve">Бюджет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Категория</w:t>
            </w:r>
          </w:p>
        </w:tc>
        <w:tc>
          <w:tcPr/>
          <w:p>
            <w:pPr>
              <w:pStyle w:val="Compact"/>
            </w:pPr>
            <w:r>
              <w:t xml:space="preserve">Бюджет за квартал</w:t>
            </w:r>
          </w:p>
        </w:tc>
        <w:tc>
          <w:tcPr/>
          <w:p>
            <w:pPr>
              <w:pStyle w:val="Compact"/>
            </w:pPr>
            <w:r>
              <w:t xml:space="preserve">Факт</w:t>
            </w:r>
          </w:p>
        </w:tc>
        <w:tc>
          <w:tcPr/>
          <w:p>
            <w:pPr>
              <w:pStyle w:val="Compact"/>
            </w:pPr>
            <w:r>
              <w:t xml:space="preserve">Отклонение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Инструменты</w:t>
            </w:r>
          </w:p>
        </w:tc>
        <w:tc>
          <w:tcPr/>
          <w:p>
            <w:pPr>
              <w:pStyle w:val="Compact"/>
            </w:pPr>
            <w:r>
              <w:t xml:space="preserve">150 000 руб.</w:t>
            </w:r>
          </w:p>
        </w:tc>
        <w:tc>
          <w:tcPr/>
          <w:p>
            <w:pPr>
              <w:pStyle w:val="Compact"/>
            </w:pPr>
            <w:r>
              <w:t xml:space="preserve">135 000 руб.</w:t>
            </w:r>
          </w:p>
        </w:tc>
        <w:tc>
          <w:tcPr/>
          <w:p>
            <w:pPr>
              <w:pStyle w:val="Compact"/>
            </w:pPr>
            <w:r>
              <w:t xml:space="preserve">−15 000 руб.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Обучение</w:t>
            </w:r>
          </w:p>
        </w:tc>
        <w:tc>
          <w:tcPr/>
          <w:p>
            <w:pPr>
              <w:pStyle w:val="Compact"/>
            </w:pPr>
            <w:r>
              <w:t xml:space="preserve">60 000 руб.</w:t>
            </w:r>
          </w:p>
        </w:tc>
        <w:tc>
          <w:tcPr/>
          <w:p>
            <w:pPr>
              <w:pStyle w:val="Compact"/>
            </w:pPr>
            <w:r>
              <w:t xml:space="preserve">66 000 руб.</w:t>
            </w:r>
          </w:p>
        </w:tc>
        <w:tc>
          <w:tcPr/>
          <w:p>
            <w:pPr>
              <w:pStyle w:val="Compact"/>
            </w:pPr>
            <w:r>
              <w:t xml:space="preserve">+6 000 руб.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Внешние консультанты</w:t>
            </w:r>
          </w:p>
        </w:tc>
        <w:tc>
          <w:tcPr/>
          <w:p>
            <w:pPr>
              <w:pStyle w:val="Compact"/>
            </w:pPr>
            <w:r>
              <w:t xml:space="preserve">90 000 руб.</w:t>
            </w:r>
          </w:p>
        </w:tc>
        <w:tc>
          <w:tcPr/>
          <w:p>
            <w:pPr>
              <w:pStyle w:val="Compact"/>
            </w:pPr>
            <w:r>
              <w:t xml:space="preserve">75 000 руб.</w:t>
            </w:r>
          </w:p>
        </w:tc>
        <w:tc>
          <w:tcPr/>
          <w:p>
            <w:pPr>
              <w:pStyle w:val="Compact"/>
            </w:pPr>
            <w:r>
              <w:t xml:space="preserve">−15 000 руб.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Сертификации</w:t>
            </w:r>
          </w:p>
        </w:tc>
        <w:tc>
          <w:tcPr/>
          <w:p>
            <w:pPr>
              <w:pStyle w:val="Compact"/>
            </w:pPr>
            <w:r>
              <w:t xml:space="preserve">30 000 руб.</w:t>
            </w:r>
          </w:p>
        </w:tc>
        <w:tc>
          <w:tcPr/>
          <w:p>
            <w:pPr>
              <w:pStyle w:val="Compact"/>
            </w:pPr>
            <w:r>
              <w:t xml:space="preserve">24 000 руб.</w:t>
            </w:r>
          </w:p>
        </w:tc>
        <w:tc>
          <w:tcPr/>
          <w:p>
            <w:pPr>
              <w:pStyle w:val="Compact"/>
            </w:pPr>
            <w:r>
              <w:t xml:space="preserve">−6 000 руб.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Итого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330 000 руб.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300 000 руб.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−30 000 руб.</w:t>
            </w:r>
          </w:p>
        </w:tc>
      </w:tr>
    </w:tbl>
    <w:bookmarkEnd w:id="26"/>
    <w:bookmarkStart w:id="27" w:name="рекомендации"/>
    <w:p>
      <w:pPr>
        <w:pStyle w:val="Heading2"/>
      </w:pPr>
      <w:r>
        <w:t xml:space="preserve">Рекомендации</w:t>
      </w:r>
    </w:p>
    <w:p>
      <w:pPr>
        <w:pStyle w:val="Compact"/>
        <w:numPr>
          <w:ilvl w:val="0"/>
          <w:numId w:val="1013"/>
        </w:numPr>
      </w:pPr>
      <w:r>
        <w:rPr>
          <w:b/>
          <w:bCs/>
        </w:rPr>
        <w:t xml:space="preserve">Одобрить пилот SIEM</w:t>
      </w:r>
      <w:r>
        <w:t xml:space="preserve"> </w:t>
      </w:r>
      <w:r>
        <w:t xml:space="preserve">— 90 000 руб./квартал, 90-дневная оценка MaxPatrol SIEM</w:t>
      </w:r>
    </w:p>
    <w:p>
      <w:pPr>
        <w:pStyle w:val="Compact"/>
        <w:numPr>
          <w:ilvl w:val="0"/>
          <w:numId w:val="1013"/>
        </w:numPr>
      </w:pPr>
      <w:r>
        <w:rPr>
          <w:b/>
          <w:bCs/>
        </w:rPr>
        <w:t xml:space="preserve">Добавить требования по безопасности в договоры с поставщиками</w:t>
      </w:r>
      <w:r>
        <w:t xml:space="preserve"> </w:t>
      </w:r>
      <w:r>
        <w:t xml:space="preserve">— нужна проверка юристов</w:t>
      </w:r>
    </w:p>
    <w:p>
      <w:pPr>
        <w:pStyle w:val="Compact"/>
        <w:numPr>
          <w:ilvl w:val="0"/>
          <w:numId w:val="1013"/>
        </w:numPr>
      </w:pPr>
      <w:r>
        <w:rPr>
          <w:b/>
          <w:bCs/>
        </w:rPr>
        <w:t xml:space="preserve">Рассмотреть программу Bug Bounty</w:t>
      </w:r>
      <w:r>
        <w:t xml:space="preserve"> </w:t>
      </w:r>
      <w:r>
        <w:t xml:space="preserve">— исследование для III квартала</w:t>
      </w:r>
    </w:p>
    <w:bookmarkEnd w:id="27"/>
    <w:bookmarkStart w:id="31" w:name="приложение"/>
    <w:p>
      <w:pPr>
        <w:pStyle w:val="Heading2"/>
      </w:pPr>
      <w:r>
        <w:t xml:space="preserve">Приложение</w:t>
      </w:r>
    </w:p>
    <w:bookmarkStart w:id="28" w:name="а.-полная-таблица-метрик"/>
    <w:p>
      <w:pPr>
        <w:pStyle w:val="Heading3"/>
      </w:pPr>
      <w:r>
        <w:t xml:space="preserve">А. Полная таблица метрик</w:t>
      </w:r>
    </w:p>
    <w:p>
      <w:pPr>
        <w:pStyle w:val="FirstParagraph"/>
      </w:pPr>
      <w:r>
        <w:t xml:space="preserve">[Детальные данные по всем метрикам]</w:t>
      </w:r>
    </w:p>
    <w:bookmarkEnd w:id="28"/>
    <w:bookmarkStart w:id="29" w:name="б.-список-инцидентов"/>
    <w:p>
      <w:pPr>
        <w:pStyle w:val="Heading3"/>
      </w:pPr>
      <w:r>
        <w:t xml:space="preserve">Б. Список инцидентов</w:t>
      </w:r>
    </w:p>
    <w:p>
      <w:pPr>
        <w:pStyle w:val="FirstParagraph"/>
      </w:pPr>
      <w:r>
        <w:t xml:space="preserve">[Все инциденты с классификацией]</w:t>
      </w:r>
    </w:p>
    <w:bookmarkEnd w:id="29"/>
    <w:bookmarkStart w:id="30" w:name="в.-инвентарь-инструментов"/>
    <w:p>
      <w:pPr>
        <w:pStyle w:val="Heading3"/>
      </w:pPr>
      <w:r>
        <w:t xml:space="preserve">В. Инвентарь инструментов</w:t>
      </w:r>
    </w:p>
    <w:p>
      <w:pPr>
        <w:pStyle w:val="FirstParagraph"/>
      </w:pPr>
      <w:r>
        <w:t xml:space="preserve">[Текущий набор инструментов безопасности и их статус]</w:t>
      </w:r>
    </w:p>
    <w:bookmarkEnd w:id="30"/>
    <w:bookmarkEnd w:id="31"/>
    <w:sectPr>
      <w:footnotePr>
        <w:numRestart w:val="eachSect"/>
      </w:footnotePr>
      <w:pgSz w:h="16838" w:w="11906"/>
      <w:pgMar w:bottom="1134" w:left="1417" w:right="850" w:top="1134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1"/>
  </w:num>
  <w:num w:numId="100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1"/>
  </w:num>
  <w:num w:numId="1006">
    <w:abstractNumId w:val="991"/>
  </w:num>
  <w:num w:numId="1007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2">
    <w:abstractNumId w:val="991"/>
  </w:num>
  <w:num w:numId="101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  <w:pPr>
      <w:spacing w:after="160" w:line="276" w:lineRule="auto"/>
    </w:pPr>
    <w:rPr>
      <w:rFonts w:ascii="Arial" w:cs="Arial" w:eastAsia="Arial" w:hAnsi="Arial"/>
      <w:sz w:val="22"/>
    </w:rPr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200" w:before="360" w:line="276" w:lineRule="auto"/>
      <w:outlineLvl w:val="0"/>
    </w:pPr>
    <w:rPr>
      <w:rFonts w:ascii="Arial" w:asciiTheme="majorHAnsi" w:cs="Arial" w:cstheme="majorBidi" w:eastAsia="Arial" w:eastAsiaTheme="majorEastAsia" w:hAnsi="Arial" w:hAnsiTheme="majorHAnsi"/>
      <w:b/>
      <w:color w:val="1A1A1A"/>
      <w:sz w:val="36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160" w:before="280" w:line="276" w:lineRule="auto"/>
      <w:outlineLvl w:val="1"/>
    </w:pPr>
    <w:rPr>
      <w:rFonts w:ascii="Arial" w:asciiTheme="majorHAnsi" w:cs="Arial" w:cstheme="majorBidi" w:eastAsia="Arial" w:eastAsiaTheme="majorEastAsia" w:hAnsi="Arial" w:hAnsiTheme="majorHAnsi"/>
      <w:b/>
      <w:color w:val="1A1A1A"/>
      <w:sz w:val="28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120" w:before="240" w:line="276" w:lineRule="auto"/>
      <w:outlineLvl w:val="2"/>
    </w:pPr>
    <w:rPr>
      <w:rFonts w:ascii="Arial" w:cs="Arial" w:cstheme="majorBidi" w:eastAsia="Arial" w:eastAsiaTheme="majorEastAsia" w:hAnsi="Arial"/>
      <w:b/>
      <w:color w:val="1A1A1A"/>
      <w:sz w:val="24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80" w:before="200" w:line="276" w:lineRule="auto"/>
      <w:outlineLvl w:val="3"/>
    </w:pPr>
    <w:rPr>
      <w:rFonts w:ascii="Arial" w:cs="Arial" w:cstheme="majorBidi" w:eastAsia="Arial" w:eastAsiaTheme="majorEastAsia" w:hAnsi="Arial"/>
      <w:b/>
      <w:i/>
      <w:iCs/>
      <w:color w:val="1A1A1A"/>
      <w:sz w:val="22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Отчёт по безопасности — I квартал 2025</dc:title>
  <dc:creator>ООО Пассворк</dc:creator>
  <cp:keywords/>
  <dcterms:created xsi:type="dcterms:W3CDTF">2026-08-07T06:43:48Z</dcterms:created>
  <dcterms:modified xsi:type="dcterms:W3CDTF">2026-08-07T06:43:48Z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