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План обучения по ИБ — [Год]</w:t>
      </w:r>
    </w:p>
    <w:bookmarkStart w:id="12" w:name="q1-основы"/>
    <w:p>
      <w:pPr>
        <w:pStyle w:val="Heading2"/>
      </w:pPr>
      <w:r>
        <w:t xml:space="preserve">Q1: Основы</w:t>
      </w:r>
    </w:p>
    <w:bookmarkStart w:id="9" w:name="январь"/>
    <w:p>
      <w:pPr>
        <w:pStyle w:val="Heading3"/>
      </w:pPr>
      <w:r>
        <w:t xml:space="preserve">Январь</w:t>
      </w:r>
    </w:p>
    <w:p>
      <w:pPr>
        <w:pStyle w:val="Compact"/>
        <w:numPr>
          <w:ilvl w:val="0"/>
          <w:numId w:val="1001"/>
        </w:numPr>
      </w:pPr>
      <w:r>
        <w:t xml:space="preserve">Обращение CEO/директора о важности безопасности</w:t>
      </w:r>
    </w:p>
    <w:p>
      <w:pPr>
        <w:pStyle w:val="Compact"/>
        <w:numPr>
          <w:ilvl w:val="0"/>
          <w:numId w:val="1002"/>
        </w:numPr>
      </w:pPr>
      <w:r>
        <w:t xml:space="preserve">Модуль: базовый курс по ИБ (все сотрудники)</w:t>
      </w:r>
    </w:p>
    <w:p>
      <w:pPr>
        <w:pStyle w:val="Compact"/>
        <w:numPr>
          <w:ilvl w:val="0"/>
          <w:numId w:val="1003"/>
        </w:numPr>
      </w:pPr>
      <w:r>
        <w:t xml:space="preserve">Фишинговая симуляция № 1 (базовое измерение)</w:t>
      </w:r>
    </w:p>
    <w:bookmarkEnd w:id="9"/>
    <w:bookmarkStart w:id="10" w:name="февраль"/>
    <w:p>
      <w:pPr>
        <w:pStyle w:val="Heading3"/>
      </w:pPr>
      <w:r>
        <w:t xml:space="preserve">Февраль</w:t>
      </w:r>
    </w:p>
    <w:p>
      <w:pPr>
        <w:pStyle w:val="Compact"/>
        <w:numPr>
          <w:ilvl w:val="0"/>
          <w:numId w:val="1004"/>
        </w:numPr>
      </w:pPr>
      <w:r>
        <w:t xml:space="preserve">Модуль: парольная безопасность</w:t>
      </w:r>
    </w:p>
    <w:p>
      <w:pPr>
        <w:pStyle w:val="Compact"/>
        <w:numPr>
          <w:ilvl w:val="0"/>
          <w:numId w:val="1005"/>
        </w:numPr>
      </w:pPr>
      <w:r>
        <w:t xml:space="preserve">Действие: запуск корпоративного менеджера паролей / проверка охвата</w:t>
      </w:r>
    </w:p>
    <w:p>
      <w:pPr>
        <w:pStyle w:val="Compact"/>
        <w:numPr>
          <w:ilvl w:val="0"/>
          <w:numId w:val="1006"/>
        </w:numPr>
      </w:pPr>
      <w:r>
        <w:t xml:space="preserve">Фишинговая симуляция № 2</w:t>
      </w:r>
    </w:p>
    <w:bookmarkEnd w:id="10"/>
    <w:bookmarkStart w:id="11" w:name="март"/>
    <w:p>
      <w:pPr>
        <w:pStyle w:val="Heading3"/>
      </w:pPr>
      <w:r>
        <w:t xml:space="preserve">Март</w:t>
      </w:r>
    </w:p>
    <w:p>
      <w:pPr>
        <w:pStyle w:val="Compact"/>
        <w:numPr>
          <w:ilvl w:val="0"/>
          <w:numId w:val="1007"/>
        </w:numPr>
      </w:pPr>
      <w:r>
        <w:t xml:space="preserve">Модуль: распознавание социальной инженерии</w:t>
      </w:r>
    </w:p>
    <w:p>
      <w:pPr>
        <w:pStyle w:val="Compact"/>
        <w:numPr>
          <w:ilvl w:val="0"/>
          <w:numId w:val="1008"/>
        </w:numPr>
      </w:pPr>
      <w:r>
        <w:t xml:space="preserve">Живая сессия: вопросы и ответы</w:t>
      </w:r>
    </w:p>
    <w:p>
      <w:pPr>
        <w:pStyle w:val="Compact"/>
        <w:numPr>
          <w:ilvl w:val="0"/>
          <w:numId w:val="1009"/>
        </w:numPr>
      </w:pPr>
      <w:r>
        <w:t xml:space="preserve">Фишинговая симуляция № 3</w:t>
      </w:r>
    </w:p>
    <w:p>
      <w:pPr>
        <w:pStyle w:val="Compact"/>
        <w:numPr>
          <w:ilvl w:val="0"/>
          <w:numId w:val="1010"/>
        </w:numPr>
      </w:pPr>
      <w:r>
        <w:t xml:space="preserve">Квартальный отчёт руководству</w:t>
      </w:r>
    </w:p>
    <w:bookmarkEnd w:id="11"/>
    <w:bookmarkEnd w:id="12"/>
    <w:bookmarkStart w:id="16" w:name="q2-развитие-навыков"/>
    <w:p>
      <w:pPr>
        <w:pStyle w:val="Heading2"/>
      </w:pPr>
      <w:r>
        <w:t xml:space="preserve">Q2: Развитие навыков</w:t>
      </w:r>
    </w:p>
    <w:bookmarkStart w:id="13" w:name="апрель"/>
    <w:p>
      <w:pPr>
        <w:pStyle w:val="Heading3"/>
      </w:pPr>
      <w:r>
        <w:t xml:space="preserve">Апрель</w:t>
      </w:r>
    </w:p>
    <w:p>
      <w:pPr>
        <w:pStyle w:val="Compact"/>
        <w:numPr>
          <w:ilvl w:val="0"/>
          <w:numId w:val="1011"/>
        </w:numPr>
      </w:pPr>
      <w:r>
        <w:t xml:space="preserve">Модуль: классификация данных и 152-ФЗ</w:t>
      </w:r>
    </w:p>
    <w:p>
      <w:pPr>
        <w:pStyle w:val="Compact"/>
        <w:numPr>
          <w:ilvl w:val="0"/>
          <w:numId w:val="1012"/>
        </w:numPr>
      </w:pPr>
      <w:r>
        <w:t xml:space="preserve">Ролевое обучение: финансовый отдел (BEC)</w:t>
      </w:r>
    </w:p>
    <w:p>
      <w:pPr>
        <w:pStyle w:val="Compact"/>
        <w:numPr>
          <w:ilvl w:val="0"/>
          <w:numId w:val="1013"/>
        </w:numPr>
      </w:pPr>
      <w:r>
        <w:t xml:space="preserve">Фишинговая симуляция № 4</w:t>
      </w:r>
    </w:p>
    <w:bookmarkEnd w:id="13"/>
    <w:bookmarkStart w:id="14" w:name="май"/>
    <w:p>
      <w:pPr>
        <w:pStyle w:val="Heading3"/>
      </w:pPr>
      <w:r>
        <w:t xml:space="preserve">Май</w:t>
      </w:r>
    </w:p>
    <w:p>
      <w:pPr>
        <w:pStyle w:val="Compact"/>
        <w:numPr>
          <w:ilvl w:val="0"/>
          <w:numId w:val="1014"/>
        </w:numPr>
      </w:pPr>
      <w:r>
        <w:t xml:space="preserve">Модуль: физическая безопасность и чистый стол</w:t>
      </w:r>
    </w:p>
    <w:p>
      <w:pPr>
        <w:pStyle w:val="Compact"/>
        <w:numPr>
          <w:ilvl w:val="0"/>
          <w:numId w:val="1015"/>
        </w:numPr>
      </w:pPr>
      <w:r>
        <w:t xml:space="preserve">Мероприятие: обход офиса с проверкой</w:t>
      </w:r>
    </w:p>
    <w:p>
      <w:pPr>
        <w:pStyle w:val="Compact"/>
        <w:numPr>
          <w:ilvl w:val="0"/>
          <w:numId w:val="1016"/>
        </w:numPr>
      </w:pPr>
      <w:r>
        <w:t xml:space="preserve">Фишинговая симуляция № 5</w:t>
      </w:r>
    </w:p>
    <w:bookmarkEnd w:id="14"/>
    <w:bookmarkStart w:id="15" w:name="июнь"/>
    <w:p>
      <w:pPr>
        <w:pStyle w:val="Heading3"/>
      </w:pPr>
      <w:r>
        <w:t xml:space="preserve">Июнь</w:t>
      </w:r>
    </w:p>
    <w:p>
      <w:pPr>
        <w:pStyle w:val="Compact"/>
        <w:numPr>
          <w:ilvl w:val="0"/>
          <w:numId w:val="1017"/>
        </w:numPr>
      </w:pPr>
      <w:r>
        <w:t xml:space="preserve">Модуль: безопасность мобильных и удалённой работы</w:t>
      </w:r>
    </w:p>
    <w:p>
      <w:pPr>
        <w:pStyle w:val="Compact"/>
        <w:numPr>
          <w:ilvl w:val="0"/>
          <w:numId w:val="1018"/>
        </w:numPr>
      </w:pPr>
      <w:r>
        <w:t xml:space="preserve">Напоминание перед летними командировками</w:t>
      </w:r>
    </w:p>
    <w:p>
      <w:pPr>
        <w:pStyle w:val="Compact"/>
        <w:numPr>
          <w:ilvl w:val="0"/>
          <w:numId w:val="1019"/>
        </w:numPr>
      </w:pPr>
      <w:r>
        <w:t xml:space="preserve">Фишинговая симуляция № 6</w:t>
      </w:r>
    </w:p>
    <w:p>
      <w:pPr>
        <w:pStyle w:val="Compact"/>
        <w:numPr>
          <w:ilvl w:val="0"/>
          <w:numId w:val="1020"/>
        </w:numPr>
      </w:pPr>
      <w:r>
        <w:t xml:space="preserve">Квартальный отчёт руководству</w:t>
      </w:r>
    </w:p>
    <w:bookmarkEnd w:id="15"/>
    <w:bookmarkEnd w:id="16"/>
    <w:bookmarkStart w:id="20" w:name="q3-закрепление"/>
    <w:p>
      <w:pPr>
        <w:pStyle w:val="Heading2"/>
      </w:pPr>
      <w:r>
        <w:t xml:space="preserve">Q3: Закрепление</w:t>
      </w:r>
    </w:p>
    <w:bookmarkStart w:id="17" w:name="июль"/>
    <w:p>
      <w:pPr>
        <w:pStyle w:val="Heading3"/>
      </w:pPr>
      <w:r>
        <w:t xml:space="preserve">Июль</w:t>
      </w:r>
    </w:p>
    <w:p>
      <w:pPr>
        <w:pStyle w:val="Compact"/>
        <w:numPr>
          <w:ilvl w:val="0"/>
          <w:numId w:val="1021"/>
        </w:numPr>
      </w:pPr>
      <w:r>
        <w:t xml:space="preserve">Лёгкий месяц: еженедельный совет по безопасности</w:t>
      </w:r>
    </w:p>
    <w:p>
      <w:pPr>
        <w:pStyle w:val="Compact"/>
        <w:numPr>
          <w:ilvl w:val="0"/>
          <w:numId w:val="1022"/>
        </w:numPr>
      </w:pPr>
      <w:r>
        <w:t xml:space="preserve">Фишинговая симуляция № 7</w:t>
      </w:r>
    </w:p>
    <w:bookmarkEnd w:id="17"/>
    <w:bookmarkStart w:id="18" w:name="август"/>
    <w:p>
      <w:pPr>
        <w:pStyle w:val="Heading3"/>
      </w:pPr>
      <w:r>
        <w:t xml:space="preserve">Август</w:t>
      </w:r>
    </w:p>
    <w:p>
      <w:pPr>
        <w:pStyle w:val="Compact"/>
        <w:numPr>
          <w:ilvl w:val="0"/>
          <w:numId w:val="1023"/>
        </w:numPr>
      </w:pPr>
      <w:r>
        <w:t xml:space="preserve">Модуль: процедура сообщения об инцидентах</w:t>
      </w:r>
    </w:p>
    <w:p>
      <w:pPr>
        <w:pStyle w:val="Compact"/>
        <w:numPr>
          <w:ilvl w:val="0"/>
          <w:numId w:val="1024"/>
        </w:numPr>
      </w:pPr>
      <w:r>
        <w:t xml:space="preserve">Настольное учение: симулированный инцидент</w:t>
      </w:r>
    </w:p>
    <w:p>
      <w:pPr>
        <w:pStyle w:val="Compact"/>
        <w:numPr>
          <w:ilvl w:val="0"/>
          <w:numId w:val="1025"/>
        </w:numPr>
      </w:pPr>
      <w:r>
        <w:t xml:space="preserve">Фишинговая симуляция № 8</w:t>
      </w:r>
    </w:p>
    <w:bookmarkEnd w:id="18"/>
    <w:bookmarkStart w:id="19" w:name="сентябрь"/>
    <w:p>
      <w:pPr>
        <w:pStyle w:val="Heading3"/>
      </w:pPr>
      <w:r>
        <w:t xml:space="preserve">Сентябрь</w:t>
      </w:r>
    </w:p>
    <w:p>
      <w:pPr>
        <w:pStyle w:val="Compact"/>
        <w:numPr>
          <w:ilvl w:val="0"/>
          <w:numId w:val="1026"/>
        </w:numPr>
      </w:pPr>
      <w:r>
        <w:t xml:space="preserve">Модуль: новые угрозы и тренды</w:t>
      </w:r>
    </w:p>
    <w:p>
      <w:pPr>
        <w:pStyle w:val="Compact"/>
        <w:numPr>
          <w:ilvl w:val="0"/>
          <w:numId w:val="1027"/>
        </w:numPr>
      </w:pPr>
      <w:r>
        <w:t xml:space="preserve">Фишинговая симуляция № 9</w:t>
      </w:r>
    </w:p>
    <w:p>
      <w:pPr>
        <w:pStyle w:val="Compact"/>
        <w:numPr>
          <w:ilvl w:val="0"/>
          <w:numId w:val="1028"/>
        </w:numPr>
      </w:pPr>
      <w:r>
        <w:t xml:space="preserve">Квартальный отчёт руководству</w:t>
      </w:r>
    </w:p>
    <w:bookmarkEnd w:id="19"/>
    <w:bookmarkEnd w:id="20"/>
    <w:bookmarkStart w:id="24" w:name="q4-итоги-и-планирование"/>
    <w:p>
      <w:pPr>
        <w:pStyle w:val="Heading2"/>
      </w:pPr>
      <w:r>
        <w:t xml:space="preserve">Q4: Итоги и планирование</w:t>
      </w:r>
    </w:p>
    <w:bookmarkStart w:id="21" w:name="октябрь"/>
    <w:p>
      <w:pPr>
        <w:pStyle w:val="Heading3"/>
      </w:pPr>
      <w:r>
        <w:t xml:space="preserve">Октябрь</w:t>
      </w:r>
    </w:p>
    <w:p>
      <w:pPr>
        <w:pStyle w:val="Compact"/>
        <w:numPr>
          <w:ilvl w:val="0"/>
          <w:numId w:val="1029"/>
        </w:numPr>
      </w:pPr>
      <w:r>
        <w:t xml:space="preserve">Специальные активности Месяца кибербезопасности</w:t>
      </w:r>
    </w:p>
    <w:p>
      <w:pPr>
        <w:pStyle w:val="Compact"/>
        <w:numPr>
          <w:ilvl w:val="0"/>
          <w:numId w:val="1030"/>
        </w:numPr>
      </w:pPr>
      <w:r>
        <w:t xml:space="preserve">Гость-спикер или тематическое видео</w:t>
      </w:r>
    </w:p>
    <w:p>
      <w:pPr>
        <w:pStyle w:val="Compact"/>
        <w:numPr>
          <w:ilvl w:val="0"/>
          <w:numId w:val="1031"/>
        </w:numPr>
      </w:pPr>
      <w:r>
        <w:t xml:space="preserve">Соревнование с призами</w:t>
      </w:r>
    </w:p>
    <w:p>
      <w:pPr>
        <w:pStyle w:val="Compact"/>
        <w:numPr>
          <w:ilvl w:val="0"/>
          <w:numId w:val="1032"/>
        </w:numPr>
      </w:pPr>
      <w:r>
        <w:t xml:space="preserve">Фишинговая симуляция № 10</w:t>
      </w:r>
    </w:p>
    <w:bookmarkEnd w:id="21"/>
    <w:bookmarkStart w:id="22" w:name="ноябрь"/>
    <w:p>
      <w:pPr>
        <w:pStyle w:val="Heading3"/>
      </w:pPr>
      <w:r>
        <w:t xml:space="preserve">Ноябрь</w:t>
      </w:r>
    </w:p>
    <w:p>
      <w:pPr>
        <w:pStyle w:val="Compact"/>
        <w:numPr>
          <w:ilvl w:val="0"/>
          <w:numId w:val="1033"/>
        </w:numPr>
      </w:pPr>
      <w:r>
        <w:t xml:space="preserve">Модуль: безопасность в праздничный сезон (покупки, путешествия)</w:t>
      </w:r>
    </w:p>
    <w:p>
      <w:pPr>
        <w:pStyle w:val="Compact"/>
        <w:numPr>
          <w:ilvl w:val="0"/>
          <w:numId w:val="1034"/>
        </w:numPr>
      </w:pPr>
      <w:r>
        <w:t xml:space="preserve">Итоговый чек-лист за год</w:t>
      </w:r>
    </w:p>
    <w:p>
      <w:pPr>
        <w:pStyle w:val="Compact"/>
        <w:numPr>
          <w:ilvl w:val="0"/>
          <w:numId w:val="1035"/>
        </w:numPr>
      </w:pPr>
      <w:r>
        <w:t xml:space="preserve">Фишинговая симуляция № 11</w:t>
      </w:r>
    </w:p>
    <w:bookmarkEnd w:id="22"/>
    <w:bookmarkStart w:id="23" w:name="декабрь"/>
    <w:p>
      <w:pPr>
        <w:pStyle w:val="Heading3"/>
      </w:pPr>
      <w:r>
        <w:t xml:space="preserve">Декабрь</w:t>
      </w:r>
    </w:p>
    <w:p>
      <w:pPr>
        <w:pStyle w:val="Compact"/>
        <w:numPr>
          <w:ilvl w:val="0"/>
          <w:numId w:val="1036"/>
        </w:numPr>
      </w:pPr>
      <w:r>
        <w:t xml:space="preserve">Лёгкий месяц: благодарности и признание</w:t>
      </w:r>
    </w:p>
    <w:p>
      <w:pPr>
        <w:pStyle w:val="Compact"/>
        <w:numPr>
          <w:ilvl w:val="0"/>
          <w:numId w:val="1037"/>
        </w:numPr>
      </w:pPr>
      <w:r>
        <w:t xml:space="preserve">Итоговая рассылка года</w:t>
      </w:r>
    </w:p>
    <w:p>
      <w:pPr>
        <w:pStyle w:val="Compact"/>
        <w:numPr>
          <w:ilvl w:val="0"/>
          <w:numId w:val="1038"/>
        </w:numPr>
      </w:pPr>
      <w:r>
        <w:t xml:space="preserve">Фишинговая симуляция № 12</w:t>
      </w:r>
    </w:p>
    <w:p>
      <w:pPr>
        <w:pStyle w:val="Compact"/>
        <w:numPr>
          <w:ilvl w:val="0"/>
          <w:numId w:val="1039"/>
        </w:numPr>
      </w:pPr>
      <w:r>
        <w:t xml:space="preserve">Годовой отчёт и план на следующий год</w:t>
      </w:r>
    </w:p>
    <w:bookmarkEnd w:id="23"/>
    <w:bookmarkEnd w:id="24"/>
    <w:bookmarkStart w:id="25" w:name="целевые-показатели"/>
    <w:p>
      <w:pPr>
        <w:pStyle w:val="Heading2"/>
      </w:pPr>
      <w:r>
        <w:t xml:space="preserve">Целевые показатели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Метрика</w:t>
            </w:r>
          </w:p>
        </w:tc>
        <w:tc>
          <w:tcPr/>
          <w:p>
            <w:pPr>
              <w:pStyle w:val="Compact"/>
            </w:pPr>
            <w:r>
              <w:t xml:space="preserve">Q1</w:t>
            </w:r>
          </w:p>
        </w:tc>
        <w:tc>
          <w:tcPr/>
          <w:p>
            <w:pPr>
              <w:pStyle w:val="Compact"/>
            </w:pPr>
            <w:r>
              <w:t xml:space="preserve">Q2</w:t>
            </w:r>
          </w:p>
        </w:tc>
        <w:tc>
          <w:tcPr/>
          <w:p>
            <w:pPr>
              <w:pStyle w:val="Compact"/>
            </w:pPr>
            <w:r>
              <w:t xml:space="preserve">Q3</w:t>
            </w:r>
          </w:p>
        </w:tc>
        <w:tc>
          <w:tcPr/>
          <w:p>
            <w:pPr>
              <w:pStyle w:val="Compact"/>
            </w:pPr>
            <w:r>
              <w:t xml:space="preserve">Q4</w:t>
            </w:r>
          </w:p>
        </w:tc>
      </w:tr>
      <w:tr>
        <w:tc>
          <w:tcPr/>
          <w:p>
            <w:pPr>
              <w:pStyle w:val="Compact"/>
            </w:pPr>
            <w:r>
              <w:t xml:space="preserve">Завершение обучения</w:t>
            </w:r>
          </w:p>
        </w:tc>
        <w:tc>
          <w:tcPr/>
          <w:p>
            <w:pPr>
              <w:pStyle w:val="Compact"/>
            </w:pPr>
            <w:r>
              <w:t xml:space="preserve">90%</w:t>
            </w:r>
          </w:p>
        </w:tc>
        <w:tc>
          <w:tcPr/>
          <w:p>
            <w:pPr>
              <w:pStyle w:val="Compact"/>
            </w:pPr>
            <w:r>
              <w:t xml:space="preserve">95%</w:t>
            </w:r>
          </w:p>
        </w:tc>
        <w:tc>
          <w:tcPr/>
          <w:p>
            <w:pPr>
              <w:pStyle w:val="Compact"/>
            </w:pPr>
            <w:r>
              <w:t xml:space="preserve">95%</w:t>
            </w:r>
          </w:p>
        </w:tc>
        <w:tc>
          <w:tcPr/>
          <w:p>
            <w:pPr>
              <w:pStyle w:val="Compact"/>
            </w:pPr>
            <w:r>
              <w:t xml:space="preserve">95%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Клики на фишинге</w:t>
            </w:r>
          </w:p>
        </w:tc>
        <w:tc>
          <w:tcPr/>
          <w:p>
            <w:pPr>
              <w:pStyle w:val="Compact"/>
            </w:pPr>
            <w:r>
              <w:t xml:space="preserve">менее 15%</w:t>
            </w:r>
          </w:p>
        </w:tc>
        <w:tc>
          <w:tcPr/>
          <w:p>
            <w:pPr>
              <w:pStyle w:val="Compact"/>
            </w:pPr>
            <w:r>
              <w:t xml:space="preserve">менее 10%</w:t>
            </w:r>
          </w:p>
        </w:tc>
        <w:tc>
          <w:tcPr/>
          <w:p>
            <w:pPr>
              <w:pStyle w:val="Compact"/>
            </w:pPr>
            <w:r>
              <w:t xml:space="preserve">менее 7%</w:t>
            </w:r>
          </w:p>
        </w:tc>
        <w:tc>
          <w:tcPr/>
          <w:p>
            <w:pPr>
              <w:pStyle w:val="Compact"/>
            </w:pPr>
            <w:r>
              <w:t xml:space="preserve">менее 5%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Процент сообщений</w:t>
            </w:r>
          </w:p>
        </w:tc>
        <w:tc>
          <w:tcPr/>
          <w:p>
            <w:pPr>
              <w:pStyle w:val="Compact"/>
            </w:pPr>
            <w:r>
              <w:t xml:space="preserve">более 40%</w:t>
            </w:r>
          </w:p>
        </w:tc>
        <w:tc>
          <w:tcPr/>
          <w:p>
            <w:pPr>
              <w:pStyle w:val="Compact"/>
            </w:pPr>
            <w:r>
              <w:t xml:space="preserve">более 50%</w:t>
            </w:r>
          </w:p>
        </w:tc>
        <w:tc>
          <w:tcPr/>
          <w:p>
            <w:pPr>
              <w:pStyle w:val="Compact"/>
            </w:pPr>
            <w:r>
              <w:t xml:space="preserve">более 60%</w:t>
            </w:r>
          </w:p>
        </w:tc>
        <w:tc>
          <w:tcPr/>
          <w:p>
            <w:pPr>
              <w:pStyle w:val="Compact"/>
            </w:pPr>
            <w:r>
              <w:t xml:space="preserve">более 70%</w:t>
            </w:r>
          </w:p>
        </w:tc>
      </w:tr>
      <w:tr>
        <w:tc>
          <w:tcPr/>
          <w:p>
            <w:pPr>
              <w:pStyle w:val="Compact"/>
            </w:pPr>
            <w:r>
              <w:t xml:space="preserve">Охват MFA</w:t>
            </w:r>
          </w:p>
        </w:tc>
        <w:tc>
          <w:tcPr/>
          <w:p>
            <w:pPr>
              <w:pStyle w:val="Compact"/>
            </w:pPr>
            <w:r>
              <w:t xml:space="preserve">95%</w:t>
            </w:r>
          </w:p>
        </w:tc>
        <w:tc>
          <w:tcPr/>
          <w:p>
            <w:pPr>
              <w:pStyle w:val="Compact"/>
            </w:pPr>
            <w:r>
              <w:t xml:space="preserve">100%</w:t>
            </w:r>
          </w:p>
        </w:tc>
        <w:tc>
          <w:tcPr/>
          <w:p>
            <w:pPr>
              <w:pStyle w:val="Compact"/>
            </w:pPr>
            <w:r>
              <w:t xml:space="preserve">100%</w:t>
            </w:r>
          </w:p>
        </w:tc>
        <w:tc>
          <w:tcPr/>
          <w:p>
            <w:pPr>
              <w:pStyle w:val="Compact"/>
            </w:pPr>
            <w:r>
              <w:t xml:space="preserve">100%</w:t>
            </w:r>
          </w:p>
        </w:tc>
      </w:tr>
    </w:tbl>
    <w:bookmarkEnd w:id="25"/>
    <w:sectPr>
      <w:footnotePr>
        <w:numRestart w:val="eachSect"/>
      </w:footnotePr>
      <w:pgSz w:h="16838" w:w="11906"/>
      <w:pgMar w:bottom="1134" w:left="1417" w:right="850" w:top="113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">
    <w:nsid w:val="0000A992"/>
    <w:multiLevelType w:val="multilevel"/>
    <w:lvl w:ilvl="0">
      <w:numFmt w:val="bullet"/>
      <w:lvlText w:val="☐"/>
      <w:lvlJc w:val="left"/>
      <w:pPr>
        <w:ind w:left="720" w:hanging="360"/>
      </w:pPr>
    </w:lvl>
    <w:lvl w:ilvl="1">
      <w:numFmt w:val="bullet"/>
      <w:lvlText w:val="☐"/>
      <w:lvlJc w:val="left"/>
      <w:pPr>
        <w:ind w:left="1440" w:hanging="360"/>
      </w:pPr>
    </w:lvl>
    <w:lvl w:ilvl="2">
      <w:numFmt w:val="bullet"/>
      <w:lvlText w:val="☐"/>
      <w:lvlJc w:val="left"/>
      <w:pPr>
        <w:ind w:left="2160" w:hanging="360"/>
      </w:pPr>
    </w:lvl>
    <w:lvl w:ilvl="3">
      <w:numFmt w:val="bullet"/>
      <w:lvlText w:val="☐"/>
      <w:lvlJc w:val="left"/>
      <w:pPr>
        <w:ind w:left="2880" w:hanging="360"/>
      </w:pPr>
    </w:lvl>
    <w:lvl w:ilvl="4">
      <w:numFmt w:val="bullet"/>
      <w:lvlText w:val="☐"/>
      <w:lvlJc w:val="left"/>
      <w:pPr>
        <w:ind w:left="3600" w:hanging="360"/>
      </w:pPr>
    </w:lvl>
    <w:lvl w:ilvl="5">
      <w:numFmt w:val="bullet"/>
      <w:lvlText w:val="☐"/>
      <w:lvlJc w:val="left"/>
      <w:pPr>
        <w:ind w:left="4320" w:hanging="360"/>
      </w:pPr>
    </w:lvl>
    <w:lvl w:ilvl="6">
      <w:numFmt w:val="bullet"/>
      <w:lvlText w:val="☐"/>
      <w:lvlJc w:val="left"/>
      <w:pPr>
        <w:ind w:left="5040" w:hanging="360"/>
      </w:pPr>
    </w:lvl>
    <w:lvl w:ilvl="7">
      <w:numFmt w:val="bullet"/>
      <w:lvlText w:val="☐"/>
      <w:lvlJc w:val="left"/>
      <w:pPr>
        <w:ind w:left="5760" w:hanging="360"/>
      </w:pPr>
    </w:lvl>
    <w:lvl w:ilvl="8">
      <w:numFmt w:val="bullet"/>
      <w:lvlText w:val="☐"/>
      <w:lvlJc w:val="left"/>
      <w:pPr>
        <w:ind w:left="6480" w:hanging="360"/>
      </w:pPr>
    </w:lvl>
  </w:abstractNum>
  <w:num w:numId="1000">
    <w:abstractNumId w:val="990"/>
  </w:num>
  <w:num w:numId="1001">
    <w:abstractNumId w:val="992"/>
  </w:num>
  <w:num w:numId="1002">
    <w:abstractNumId w:val="992"/>
  </w:num>
  <w:num w:numId="1003">
    <w:abstractNumId w:val="992"/>
  </w:num>
  <w:num w:numId="1004">
    <w:abstractNumId w:val="992"/>
  </w:num>
  <w:num w:numId="1005">
    <w:abstractNumId w:val="992"/>
  </w:num>
  <w:num w:numId="1006">
    <w:abstractNumId w:val="992"/>
  </w:num>
  <w:num w:numId="1007">
    <w:abstractNumId w:val="992"/>
  </w:num>
  <w:num w:numId="1008">
    <w:abstractNumId w:val="992"/>
  </w:num>
  <w:num w:numId="1009">
    <w:abstractNumId w:val="992"/>
  </w:num>
  <w:num w:numId="1010">
    <w:abstractNumId w:val="992"/>
  </w:num>
  <w:num w:numId="1011">
    <w:abstractNumId w:val="992"/>
  </w:num>
  <w:num w:numId="1012">
    <w:abstractNumId w:val="992"/>
  </w:num>
  <w:num w:numId="1013">
    <w:abstractNumId w:val="992"/>
  </w:num>
  <w:num w:numId="1014">
    <w:abstractNumId w:val="992"/>
  </w:num>
  <w:num w:numId="1015">
    <w:abstractNumId w:val="992"/>
  </w:num>
  <w:num w:numId="1016">
    <w:abstractNumId w:val="992"/>
  </w:num>
  <w:num w:numId="1017">
    <w:abstractNumId w:val="992"/>
  </w:num>
  <w:num w:numId="1018">
    <w:abstractNumId w:val="992"/>
  </w:num>
  <w:num w:numId="1019">
    <w:abstractNumId w:val="992"/>
  </w:num>
  <w:num w:numId="1020">
    <w:abstractNumId w:val="992"/>
  </w:num>
  <w:num w:numId="1021">
    <w:abstractNumId w:val="992"/>
  </w:num>
  <w:num w:numId="1022">
    <w:abstractNumId w:val="992"/>
  </w:num>
  <w:num w:numId="1023">
    <w:abstractNumId w:val="992"/>
  </w:num>
  <w:num w:numId="1024">
    <w:abstractNumId w:val="992"/>
  </w:num>
  <w:num w:numId="1025">
    <w:abstractNumId w:val="992"/>
  </w:num>
  <w:num w:numId="1026">
    <w:abstractNumId w:val="992"/>
  </w:num>
  <w:num w:numId="1027">
    <w:abstractNumId w:val="992"/>
  </w:num>
  <w:num w:numId="1028">
    <w:abstractNumId w:val="992"/>
  </w:num>
  <w:num w:numId="1029">
    <w:abstractNumId w:val="992"/>
  </w:num>
  <w:num w:numId="1030">
    <w:abstractNumId w:val="992"/>
  </w:num>
  <w:num w:numId="1031">
    <w:abstractNumId w:val="992"/>
  </w:num>
  <w:num w:numId="1032">
    <w:abstractNumId w:val="992"/>
  </w:num>
  <w:num w:numId="1033">
    <w:abstractNumId w:val="992"/>
  </w:num>
  <w:num w:numId="1034">
    <w:abstractNumId w:val="992"/>
  </w:num>
  <w:num w:numId="1035">
    <w:abstractNumId w:val="992"/>
  </w:num>
  <w:num w:numId="1036">
    <w:abstractNumId w:val="992"/>
  </w:num>
  <w:num w:numId="1037">
    <w:abstractNumId w:val="992"/>
  </w:num>
  <w:num w:numId="1038">
    <w:abstractNumId w:val="992"/>
  </w:num>
  <w:num w:numId="1039">
    <w:abstractNumId w:val="992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  <w:pPr>
      <w:spacing w:after="160" w:line="276" w:lineRule="auto"/>
    </w:pPr>
    <w:rPr>
      <w:rFonts w:ascii="Arial" w:cs="Arial" w:eastAsia="Arial" w:hAnsi="Arial"/>
      <w:sz w:val="22"/>
    </w:rPr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200" w:before="360" w:line="276" w:lineRule="auto"/>
      <w:outlineLvl w:val="0"/>
    </w:pPr>
    <w:rPr>
      <w:rFonts w:ascii="Arial" w:asciiTheme="majorHAnsi" w:cs="Arial" w:cstheme="majorBidi" w:eastAsia="Arial" w:eastAsiaTheme="majorEastAsia" w:hAnsi="Arial" w:hAnsiTheme="majorHAnsi"/>
      <w:b/>
      <w:color w:val="1A1A1A"/>
      <w:sz w:val="36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160" w:before="280" w:line="276" w:lineRule="auto"/>
      <w:outlineLvl w:val="1"/>
    </w:pPr>
    <w:rPr>
      <w:rFonts w:ascii="Arial" w:asciiTheme="majorHAnsi" w:cs="Arial" w:cstheme="majorBidi" w:eastAsia="Arial" w:eastAsiaTheme="majorEastAsia" w:hAnsi="Arial" w:hAnsiTheme="majorHAnsi"/>
      <w:b/>
      <w:color w:val="1A1A1A"/>
      <w:sz w:val="28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120" w:before="240" w:line="276" w:lineRule="auto"/>
      <w:outlineLvl w:val="2"/>
    </w:pPr>
    <w:rPr>
      <w:rFonts w:ascii="Arial" w:cs="Arial" w:cstheme="majorBidi" w:eastAsia="Arial" w:eastAsiaTheme="majorEastAsia" w:hAnsi="Arial"/>
      <w:b/>
      <w:color w:val="1A1A1A"/>
      <w:sz w:val="24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80" w:before="200" w:line="276" w:lineRule="auto"/>
      <w:outlineLvl w:val="3"/>
    </w:pPr>
    <w:rPr>
      <w:rFonts w:ascii="Arial" w:cs="Arial" w:cstheme="majorBidi" w:eastAsia="Arial" w:eastAsiaTheme="majorEastAsia" w:hAnsi="Arial"/>
      <w:b/>
      <w:i/>
      <w:iCs/>
      <w:color w:val="1A1A1A"/>
      <w:sz w:val="22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обучения по ИБ — [Год]</dc:title>
  <dc:creator>ООО Пассворк</dc:creator>
  <cp:keywords/>
  <dcterms:created xsi:type="dcterms:W3CDTF">2026-08-07T06:43:44Z</dcterms:created>
  <dcterms:modified xsi:type="dcterms:W3CDTF">2026-08-07T06:43:44Z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