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Приложение об информационной безопасности</w:t>
      </w:r>
    </w:p>
    <w:p>
      <w:pPr>
        <w:pStyle w:val="FirstParagraph"/>
      </w:pPr>
      <w:r>
        <w:t xml:space="preserve">к Договору [название]</w:t>
      </w:r>
    </w:p>
    <w:p>
      <w:pPr>
        <w:pStyle w:val="BodyText"/>
      </w:pPr>
      <w:r>
        <w:t xml:space="preserve">Настоящее Приложение является неотъемлемой частью Договора между</w:t>
      </w:r>
      <w:r>
        <w:t xml:space="preserve"> </w:t>
      </w:r>
      <w:r>
        <w:t xml:space="preserve">[Заказчик] и [Поставщик], вступает в силу с [Дата].</w:t>
      </w:r>
    </w:p>
    <w:bookmarkStart w:id="9" w:name="меры-защиты-информации"/>
    <w:p>
      <w:pPr>
        <w:pStyle w:val="Heading2"/>
      </w:pPr>
      <w:r>
        <w:t xml:space="preserve">1. Меры защиты информации</w:t>
      </w:r>
    </w:p>
    <w:p>
      <w:pPr>
        <w:pStyle w:val="FirstParagraph"/>
      </w:pPr>
      <w:r>
        <w:t xml:space="preserve">Поставщик обязуется поддерживать следующие меры:</w:t>
      </w:r>
    </w:p>
    <w:p>
      <w:pPr>
        <w:pStyle w:val="BodyText"/>
      </w:pPr>
      <w:r>
        <w:t xml:space="preserve">1.1 Управление доступом</w:t>
      </w:r>
      <w:r>
        <w:t xml:space="preserve"> </w:t>
      </w:r>
      <w:r>
        <w:t xml:space="preserve">- Многофакторная аутентификация на всех системах, обрабатывающих</w:t>
      </w:r>
      <w:r>
        <w:t xml:space="preserve"> </w:t>
      </w:r>
      <w:r>
        <w:t xml:space="preserve">данные Заказчика</w:t>
      </w:r>
      <w:r>
        <w:t xml:space="preserve"> </w:t>
      </w:r>
      <w:r>
        <w:t xml:space="preserve">- Разграничение доступа по принципу минимальных привилегий</w:t>
      </w:r>
      <w:r>
        <w:t xml:space="preserve"> </w:t>
      </w:r>
      <w:r>
        <w:t xml:space="preserve">- Ежеквартальный пересмотр прав доступа</w:t>
      </w:r>
      <w:r>
        <w:t xml:space="preserve"> </w:t>
      </w:r>
      <w:r>
        <w:t xml:space="preserve">- Отзыв доступа в течение 24 часов с момента увольнения сотрудника</w:t>
      </w:r>
    </w:p>
    <w:p>
      <w:pPr>
        <w:pStyle w:val="BodyText"/>
      </w:pPr>
      <w:r>
        <w:t xml:space="preserve">1.2 Шифрование</w:t>
      </w:r>
      <w:r>
        <w:t xml:space="preserve"> </w:t>
      </w:r>
      <w:r>
        <w:t xml:space="preserve">- Данные Заказчика зашифрованы в хранении по алгоритму AES-256</w:t>
      </w:r>
      <w:r>
        <w:t xml:space="preserve"> </w:t>
      </w:r>
      <w:r>
        <w:t xml:space="preserve">или эквивалентному</w:t>
      </w:r>
      <w:r>
        <w:t xml:space="preserve"> </w:t>
      </w:r>
      <w:r>
        <w:t xml:space="preserve">- Данные Заказчика зашифрованы при передаче с применением TLS 1.2</w:t>
      </w:r>
      <w:r>
        <w:t xml:space="preserve"> </w:t>
      </w:r>
      <w:r>
        <w:t xml:space="preserve">и выше</w:t>
      </w:r>
      <w:r>
        <w:t xml:space="preserve"> </w:t>
      </w:r>
      <w:r>
        <w:t xml:space="preserve">- Управление ключами шифрования с регулярной ротацией</w:t>
      </w:r>
    </w:p>
    <w:p>
      <w:pPr>
        <w:pStyle w:val="BodyText"/>
      </w:pPr>
      <w:r>
        <w:t xml:space="preserve">1.3 Мониторинг и журналирование</w:t>
      </w:r>
      <w:r>
        <w:t xml:space="preserve"> </w:t>
      </w:r>
      <w:r>
        <w:t xml:space="preserve">- Регистрация событий безопасности на всех системах, обрабатывающих</w:t>
      </w:r>
      <w:r>
        <w:t xml:space="preserve"> </w:t>
      </w:r>
      <w:r>
        <w:t xml:space="preserve">данные Заказчика</w:t>
      </w:r>
      <w:r>
        <w:t xml:space="preserve"> </w:t>
      </w:r>
      <w:r>
        <w:t xml:space="preserve">- Хранение журналов не менее 12 месяцев</w:t>
      </w:r>
      <w:r>
        <w:t xml:space="preserve"> </w:t>
      </w:r>
      <w:r>
        <w:t xml:space="preserve">- Мониторинг несанкционированного доступа</w:t>
      </w:r>
    </w:p>
    <w:bookmarkEnd w:id="9"/>
    <w:bookmarkStart w:id="10" w:name="оценка-безопасности"/>
    <w:p>
      <w:pPr>
        <w:pStyle w:val="Heading2"/>
      </w:pPr>
      <w:r>
        <w:t xml:space="preserve">2. Оценка безопасности</w:t>
      </w:r>
    </w:p>
    <w:p>
      <w:pPr>
        <w:pStyle w:val="FirstParagraph"/>
      </w:pPr>
      <w:r>
        <w:t xml:space="preserve">2.1 Поставщик поддерживает аттестат соответствия (ФСТЭК, ISO 27001</w:t>
      </w:r>
      <w:r>
        <w:t xml:space="preserve"> </w:t>
      </w:r>
      <w:r>
        <w:t xml:space="preserve">или эквивалент) и предоставляет актуальный документ по запросу.</w:t>
      </w:r>
    </w:p>
    <w:p>
      <w:pPr>
        <w:pStyle w:val="BodyText"/>
      </w:pPr>
      <w:r>
        <w:t xml:space="preserve">2.2 Поставщик ежегодно проводит пентест силами квалифицированного</w:t>
      </w:r>
      <w:r>
        <w:t xml:space="preserve"> </w:t>
      </w:r>
      <w:r>
        <w:t xml:space="preserve">независимого подрядчика и устраняет критические уязвимости</w:t>
      </w:r>
      <w:r>
        <w:t xml:space="preserve"> </w:t>
      </w:r>
      <w:r>
        <w:t xml:space="preserve">в течение 30 дней.</w:t>
      </w:r>
    </w:p>
    <w:p>
      <w:pPr>
        <w:pStyle w:val="BodyText"/>
      </w:pPr>
      <w:r>
        <w:t xml:space="preserve">2.3 Заказчик вправе провести оценку безопасности с уведомлением</w:t>
      </w:r>
      <w:r>
        <w:t xml:space="preserve"> </w:t>
      </w:r>
      <w:r>
        <w:t xml:space="preserve">за 30 дней, но не более одного раза в год.</w:t>
      </w:r>
    </w:p>
    <w:bookmarkEnd w:id="10"/>
    <w:bookmarkStart w:id="11" w:name="реагирование-на-инциденты"/>
    <w:p>
      <w:pPr>
        <w:pStyle w:val="Heading2"/>
      </w:pPr>
      <w:r>
        <w:t xml:space="preserve">3. Реагирование на инциденты</w:t>
      </w:r>
    </w:p>
    <w:p>
      <w:pPr>
        <w:pStyle w:val="FirstParagraph"/>
      </w:pPr>
      <w:r>
        <w:t xml:space="preserve">3.1 Поставщик уведомляет Заказчика о любом инциденте ИБ, затронувшем</w:t>
      </w:r>
      <w:r>
        <w:t xml:space="preserve"> </w:t>
      </w:r>
      <w:r>
        <w:t xml:space="preserve">данные Заказчика, в течение 24 часов с момента обнаружения.</w:t>
      </w:r>
    </w:p>
    <w:p>
      <w:pPr>
        <w:pStyle w:val="BodyText"/>
      </w:pPr>
      <w:r>
        <w:t xml:space="preserve">3.2 Уведомление должно содержать:</w:t>
      </w:r>
      <w:r>
        <w:t xml:space="preserve"> </w:t>
      </w:r>
      <w:r>
        <w:t xml:space="preserve">- характер и масштаб инцидента</w:t>
      </w:r>
      <w:r>
        <w:t xml:space="preserve"> </w:t>
      </w:r>
      <w:r>
        <w:t xml:space="preserve">- типы затронутых данных</w:t>
      </w:r>
      <w:r>
        <w:t xml:space="preserve"> </w:t>
      </w:r>
      <w:r>
        <w:t xml:space="preserve">- принятые и планируемые меры реагирования</w:t>
      </w:r>
      <w:r>
        <w:t xml:space="preserve"> </w:t>
      </w:r>
      <w:r>
        <w:t xml:space="preserve">- контактные данные для получения обновлений</w:t>
      </w:r>
    </w:p>
    <w:p>
      <w:pPr>
        <w:pStyle w:val="BodyText"/>
      </w:pPr>
      <w:r>
        <w:t xml:space="preserve">3.3 Поставщик содействует расследованию инцидента Заказчиком</w:t>
      </w:r>
      <w:r>
        <w:t xml:space="preserve"> </w:t>
      </w:r>
      <w:r>
        <w:t xml:space="preserve">и предоставляет запрошенную информацию в течение 48 часов.</w:t>
      </w:r>
    </w:p>
    <w:bookmarkEnd w:id="11"/>
    <w:bookmarkStart w:id="12" w:name="защита-данных"/>
    <w:p>
      <w:pPr>
        <w:pStyle w:val="Heading2"/>
      </w:pPr>
      <w:r>
        <w:t xml:space="preserve">4. Защита данных</w:t>
      </w:r>
    </w:p>
    <w:p>
      <w:pPr>
        <w:pStyle w:val="FirstParagraph"/>
      </w:pPr>
      <w:r>
        <w:t xml:space="preserve">4.1 Поставщик получает доступ к данным Заказчика исключительно</w:t>
      </w:r>
      <w:r>
        <w:t xml:space="preserve"> </w:t>
      </w:r>
      <w:r>
        <w:t xml:space="preserve">в объёме, необходимом для оказания услуг.</w:t>
      </w:r>
    </w:p>
    <w:p>
      <w:pPr>
        <w:pStyle w:val="BodyText"/>
      </w:pPr>
      <w:r>
        <w:t xml:space="preserve">4.2 Поставщик не использует данные Заказчика в иных целях.</w:t>
      </w:r>
    </w:p>
    <w:p>
      <w:pPr>
        <w:pStyle w:val="BodyText"/>
      </w:pPr>
      <w:r>
        <w:t xml:space="preserve">4.3 При расторжении договора Поставщик удаляет или возвращает</w:t>
      </w:r>
      <w:r>
        <w:t xml:space="preserve"> </w:t>
      </w:r>
      <w:r>
        <w:t xml:space="preserve">все данные Заказчика в течение 30 дней и подтверждает</w:t>
      </w:r>
      <w:r>
        <w:t xml:space="preserve"> </w:t>
      </w:r>
      <w:r>
        <w:t xml:space="preserve">удаление в письменной форме.</w:t>
      </w:r>
    </w:p>
    <w:p>
      <w:pPr>
        <w:pStyle w:val="BodyText"/>
      </w:pPr>
      <w:r>
        <w:t xml:space="preserve">4.4 Поставщик ведёт перечень субподрядчиков и уведомляет Заказчика</w:t>
      </w:r>
      <w:r>
        <w:t xml:space="preserve"> </w:t>
      </w:r>
      <w:r>
        <w:t xml:space="preserve">о любых изменениях за 30 дней.</w:t>
      </w:r>
    </w:p>
    <w:bookmarkEnd w:id="12"/>
    <w:bookmarkStart w:id="13" w:name="права-на-аудит"/>
    <w:p>
      <w:pPr>
        <w:pStyle w:val="Heading2"/>
      </w:pPr>
      <w:r>
        <w:t xml:space="preserve">5. Права на аудит</w:t>
      </w:r>
    </w:p>
    <w:p>
      <w:pPr>
        <w:pStyle w:val="FirstParagraph"/>
      </w:pPr>
      <w:r>
        <w:t xml:space="preserve">5.1 Заказчик вправе проверить соответствие Поставщика настоящему</w:t>
      </w:r>
      <w:r>
        <w:t xml:space="preserve"> </w:t>
      </w:r>
      <w:r>
        <w:t xml:space="preserve">Приложению с уведомлением за 30 дней.</w:t>
      </w:r>
    </w:p>
    <w:p>
      <w:pPr>
        <w:pStyle w:val="BodyText"/>
      </w:pPr>
      <w:r>
        <w:t xml:space="preserve">5.2 Поставщик обеспечивает документацию, достаточную для</w:t>
      </w:r>
      <w:r>
        <w:t xml:space="preserve"> </w:t>
      </w:r>
      <w:r>
        <w:t xml:space="preserve">подтверждения соответствия требованиям.</w:t>
      </w:r>
    </w:p>
    <w:bookmarkEnd w:id="13"/>
    <w:bookmarkStart w:id="14" w:name="устранение-нарушений"/>
    <w:p>
      <w:pPr>
        <w:pStyle w:val="Heading2"/>
      </w:pPr>
      <w:r>
        <w:t xml:space="preserve">6. Устранение нарушений</w:t>
      </w:r>
    </w:p>
    <w:p>
      <w:pPr>
        <w:pStyle w:val="FirstParagraph"/>
      </w:pPr>
      <w:r>
        <w:t xml:space="preserve">6.1 При несоответствии требованиям Заказчик вправе запросить план</w:t>
      </w:r>
      <w:r>
        <w:t xml:space="preserve"> </w:t>
      </w:r>
      <w:r>
        <w:t xml:space="preserve">устранения нарушений в течение 14 дней.</w:t>
      </w:r>
    </w:p>
    <w:p>
      <w:pPr>
        <w:pStyle w:val="BodyText"/>
      </w:pPr>
      <w:r>
        <w:t xml:space="preserve">6.2 Систематическое несоответствие является существенным нарушением</w:t>
      </w:r>
      <w:r>
        <w:t xml:space="preserve"> </w:t>
      </w:r>
      <w:r>
        <w:t xml:space="preserve">договора и даёт Заказчику право на его расторжение.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Согласовано и принято:</w:t>
      </w:r>
    </w:p>
    <w:p>
      <w:pPr>
        <w:pStyle w:val="BodyText"/>
      </w:pPr>
      <w:r>
        <w:t xml:space="preserve">Заказчик: _______________ Дата: _______</w:t>
      </w:r>
      <w:r>
        <w:t xml:space="preserve"> </w:t>
      </w:r>
      <w:r>
        <w:t xml:space="preserve">Поставщик: ______________ Дата: _______</w:t>
      </w:r>
    </w:p>
    <w:bookmarkEnd w:id="14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об информационной безопасности</dc:title>
  <dc:creator>ООО Пассворк</dc:creator>
  <cp:keywords/>
  <dcterms:created xsi:type="dcterms:W3CDTF">2026-08-07T06:43:48Z</dcterms:created>
  <dcterms:modified xsi:type="dcterms:W3CDTF">2026-08-07T06:43:48Z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