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Журнал угроз — 2025</w:t>
      </w:r>
    </w:p>
    <w:bookmarkStart w:id="9" w:name="активные-угрозы-касающиеся-нас"/>
    <w:p>
      <w:pPr>
        <w:pStyle w:val="Heading3"/>
      </w:pPr>
      <w:r>
        <w:t xml:space="preserve">Активные угрозы, касающиеся нас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31"/>
        <w:gridCol w:w="2212"/>
        <w:gridCol w:w="931"/>
        <w:gridCol w:w="2212"/>
        <w:gridCol w:w="1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Угроза</w:t>
            </w:r>
          </w:p>
        </w:tc>
        <w:tc>
          <w:tcPr/>
          <w:p>
            <w:pPr>
              <w:pStyle w:val="Compact"/>
            </w:pPr>
            <w:r>
              <w:t xml:space="preserve">Первое обнаружение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Наш уровень риска</w:t>
            </w:r>
          </w:p>
        </w:tc>
        <w:tc>
          <w:tcPr/>
          <w:p>
            <w:pPr>
              <w:pStyle w:val="Compact"/>
            </w:pPr>
            <w:r>
              <w:t xml:space="preserve">Принятые меры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CVE-2025-XXXX</w:t>
            </w:r>
          </w:p>
        </w:tc>
        <w:tc>
          <w:tcPr/>
          <w:p>
            <w:pPr>
              <w:pStyle w:val="Compact"/>
            </w:pPr>
            <w:r>
              <w:t xml:space="preserve">2025-02-15</w:t>
            </w:r>
          </w:p>
        </w:tc>
        <w:tc>
          <w:tcPr/>
          <w:p>
            <w:pPr>
              <w:pStyle w:val="Compact"/>
            </w:pPr>
            <w:r>
              <w:t xml:space="preserve">Закрыта патчем</w:t>
            </w:r>
          </w:p>
        </w:tc>
        <w:tc>
          <w:tcPr/>
          <w:p>
            <w:pPr>
              <w:pStyle w:val="Compact"/>
            </w:pPr>
            <w:r>
              <w:t xml:space="preserve">3 сервера</w:t>
            </w:r>
          </w:p>
        </w:tc>
        <w:tc>
          <w:tcPr/>
          <w:p>
            <w:pPr>
              <w:pStyle w:val="Compact"/>
            </w:pPr>
            <w:r>
              <w:t xml:space="preserve">Обновлено 02/17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Фишинговая кампания Y</w:t>
            </w:r>
          </w:p>
        </w:tc>
        <w:tc>
          <w:tcPr/>
          <w:p>
            <w:pPr>
              <w:pStyle w:val="Compact"/>
            </w:pPr>
            <w:r>
              <w:t xml:space="preserve">2025-03-01</w:t>
            </w:r>
          </w:p>
        </w:tc>
        <w:tc>
          <w:tcPr/>
          <w:p>
            <w:pPr>
              <w:pStyle w:val="Compact"/>
            </w:pPr>
            <w:r>
              <w:t xml:space="preserve">Активна</w:t>
            </w:r>
          </w:p>
        </w:tc>
        <w:tc>
          <w:tcPr/>
          <w:p>
            <w:pPr>
              <w:pStyle w:val="Compact"/>
            </w:pPr>
            <w:r>
              <w:t xml:space="preserve">Осведомлённость</w:t>
            </w:r>
          </w:p>
        </w:tc>
        <w:tc>
          <w:tcPr/>
          <w:p>
            <w:pPr>
              <w:pStyle w:val="Compact"/>
            </w:pPr>
            <w:r>
              <w:t xml:space="preserve">Рассылка обучения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Активность группировки Z</w:t>
            </w:r>
          </w:p>
        </w:tc>
        <w:tc>
          <w:tcPr/>
          <w:p>
            <w:pPr>
              <w:pStyle w:val="Compact"/>
            </w:pPr>
            <w:r>
              <w:t xml:space="preserve">2025-03-20</w:t>
            </w:r>
          </w:p>
        </w:tc>
        <w:tc>
          <w:tcPr/>
          <w:p>
            <w:pPr>
              <w:pStyle w:val="Compact"/>
            </w:pPr>
            <w:r>
              <w:t xml:space="preserve">Мониторинг</w:t>
            </w:r>
          </w:p>
        </w:tc>
        <w:tc>
          <w:tcPr/>
          <w:p>
            <w:pPr>
              <w:pStyle w:val="Compact"/>
            </w:pPr>
            <w:r>
              <w:t xml:space="preserve">Мониторинг</w:t>
            </w:r>
          </w:p>
        </w:tc>
        <w:tc>
          <w:tcPr/>
          <w:p>
            <w:pPr>
              <w:pStyle w:val="Compact"/>
            </w:pPr>
            <w:r>
              <w:t xml:space="preserve">Усиленное резервирование</w:t>
            </w:r>
          </w:p>
        </w:tc>
      </w:tr>
    </w:tbl>
    <w:bookmarkEnd w:id="9"/>
    <w:bookmarkStart w:id="10" w:name="оценка-источников"/>
    <w:p>
      <w:pPr>
        <w:pStyle w:val="Heading3"/>
      </w:pPr>
      <w:r>
        <w:t xml:space="preserve">Оценка источников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Источник</w:t>
            </w:r>
          </w:p>
        </w:tc>
        <w:tc>
          <w:tcPr/>
          <w:p>
            <w:pPr>
              <w:pStyle w:val="Compact"/>
            </w:pPr>
            <w:r>
              <w:t xml:space="preserve">Качество сигнала</w:t>
            </w:r>
          </w:p>
        </w:tc>
        <w:tc>
          <w:tcPr/>
          <w:p>
            <w:pPr>
              <w:pStyle w:val="Compact"/>
            </w:pPr>
            <w:r>
              <w:t xml:space="preserve">Релевантность</w:t>
            </w:r>
          </w:p>
        </w:tc>
        <w:tc>
          <w:tcPr/>
          <w:p>
            <w:pPr>
              <w:pStyle w:val="Compact"/>
            </w:pPr>
            <w:r>
              <w:t xml:space="preserve">Решение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БДУ ФСТЭК</w:t>
            </w:r>
          </w:p>
        </w:tc>
        <w:tc>
          <w:tcPr/>
          <w:p>
            <w:pPr>
              <w:pStyle w:val="Compact"/>
            </w:pPr>
            <w:r>
              <w:t xml:space="preserve">Высокое</w:t>
            </w:r>
          </w:p>
        </w:tc>
        <w:tc>
          <w:tcPr/>
          <w:p>
            <w:pPr>
              <w:pStyle w:val="Compact"/>
            </w:pPr>
            <w:r>
              <w:t xml:space="preserve">Высокая</w:t>
            </w:r>
          </w:p>
        </w:tc>
        <w:tc>
          <w:tcPr/>
          <w:p>
            <w:pPr>
              <w:pStyle w:val="Compact"/>
            </w:pPr>
            <w:r>
              <w:t xml:space="preserve">Оставить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Аналитика PT</w:t>
            </w:r>
          </w:p>
        </w:tc>
        <w:tc>
          <w:tcPr/>
          <w:p>
            <w:pPr>
              <w:pStyle w:val="Compact"/>
            </w:pPr>
            <w:r>
              <w:t xml:space="preserve">Высокое</w:t>
            </w:r>
          </w:p>
        </w:tc>
        <w:tc>
          <w:tcPr/>
          <w:p>
            <w:pPr>
              <w:pStyle w:val="Compact"/>
            </w:pPr>
            <w:r>
              <w:t xml:space="preserve">Высокая</w:t>
            </w:r>
          </w:p>
        </w:tc>
        <w:tc>
          <w:tcPr/>
          <w:p>
            <w:pPr>
              <w:pStyle w:val="Compact"/>
            </w:pPr>
            <w:r>
              <w:t xml:space="preserve">Оставить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Произвольный вендор</w:t>
            </w:r>
          </w:p>
        </w:tc>
        <w:tc>
          <w:tcPr/>
          <w:p>
            <w:pPr>
              <w:pStyle w:val="Compact"/>
            </w:pPr>
            <w:r>
              <w:t xml:space="preserve">Низкое</w:t>
            </w:r>
          </w:p>
        </w:tc>
        <w:tc>
          <w:tcPr/>
          <w:p>
            <w:pPr>
              <w:pStyle w:val="Compact"/>
            </w:pPr>
            <w:r>
              <w:t xml:space="preserve">Низкая</w:t>
            </w:r>
          </w:p>
        </w:tc>
        <w:tc>
          <w:tcPr/>
          <w:p>
            <w:pPr>
              <w:pStyle w:val="Compact"/>
            </w:pPr>
            <w:r>
              <w:t xml:space="preserve">Удалить</w:t>
            </w:r>
          </w:p>
        </w:tc>
      </w:tr>
    </w:tbl>
    <w:bookmarkEnd w:id="10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угроз — 2025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