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Чек-лист завершения отношений с поставщиком</w:t>
      </w:r>
    </w:p>
    <w:p>
      <w:pPr>
        <w:pStyle w:val="FirstParagraph"/>
      </w:pPr>
      <w:r>
        <w:t xml:space="preserve">Поставщик: [Название]</w:t>
      </w:r>
      <w:r>
        <w:t xml:space="preserve"> </w:t>
      </w:r>
      <w:r>
        <w:t xml:space="preserve">Дата завершения: [Дата]</w:t>
      </w:r>
      <w:r>
        <w:t xml:space="preserve"> </w:t>
      </w:r>
      <w:r>
        <w:t xml:space="preserve">Причина: [Окончание договора / Замена / Инцидент]</w:t>
      </w:r>
      <w:r>
        <w:t xml:space="preserve"> </w:t>
      </w:r>
      <w:r>
        <w:t xml:space="preserve">Ответственный: [Имя]</w:t>
      </w:r>
    </w:p>
    <w:bookmarkStart w:id="9" w:name="отзыв-доступа"/>
    <w:p>
      <w:pPr>
        <w:pStyle w:val="Heading3"/>
      </w:pPr>
      <w:r>
        <w:t xml:space="preserve">Отзыв доступа</w:t>
      </w:r>
    </w:p>
    <w:p>
      <w:pPr>
        <w:pStyle w:val="Compact"/>
        <w:numPr>
          <w:ilvl w:val="0"/>
          <w:numId w:val="1001"/>
        </w:numPr>
      </w:pPr>
      <w:r>
        <w:t xml:space="preserve">Удалены учётные записи поставщика во всех системах</w:t>
      </w:r>
    </w:p>
    <w:p>
      <w:pPr>
        <w:pStyle w:val="Compact"/>
        <w:numPr>
          <w:ilvl w:val="0"/>
          <w:numId w:val="1002"/>
        </w:numPr>
      </w:pPr>
      <w:r>
        <w:t xml:space="preserve">Отозваны API-ключи и токены</w:t>
      </w:r>
    </w:p>
    <w:p>
      <w:pPr>
        <w:pStyle w:val="Compact"/>
        <w:numPr>
          <w:ilvl w:val="0"/>
          <w:numId w:val="1003"/>
        </w:numPr>
      </w:pPr>
      <w:r>
        <w:t xml:space="preserve">Удалён из SSO/IdP при наличии</w:t>
      </w:r>
    </w:p>
    <w:p>
      <w:pPr>
        <w:pStyle w:val="Compact"/>
        <w:numPr>
          <w:ilvl w:val="0"/>
          <w:numId w:val="1004"/>
        </w:numPr>
      </w:pPr>
      <w:r>
        <w:t xml:space="preserve">Отключены интеграции между системами</w:t>
      </w:r>
    </w:p>
    <w:p>
      <w:pPr>
        <w:pStyle w:val="Compact"/>
        <w:numPr>
          <w:ilvl w:val="0"/>
          <w:numId w:val="1005"/>
        </w:numPr>
      </w:pPr>
      <w:r>
        <w:t xml:space="preserve">Удалён из корпоративных мессенджеров и каналов</w:t>
      </w:r>
    </w:p>
    <w:p>
      <w:pPr>
        <w:pStyle w:val="Compact"/>
        <w:numPr>
          <w:ilvl w:val="0"/>
          <w:numId w:val="1006"/>
        </w:numPr>
      </w:pPr>
      <w:r>
        <w:t xml:space="preserve">Отозваны выданные сертификаты</w:t>
      </w:r>
    </w:p>
    <w:bookmarkEnd w:id="9"/>
    <w:bookmarkStart w:id="10" w:name="обработка-данных"/>
    <w:p>
      <w:pPr>
        <w:pStyle w:val="Heading3"/>
      </w:pPr>
      <w:r>
        <w:t xml:space="preserve">Обработка данных</w:t>
      </w:r>
    </w:p>
    <w:p>
      <w:pPr>
        <w:pStyle w:val="Compact"/>
        <w:numPr>
          <w:ilvl w:val="0"/>
          <w:numId w:val="1007"/>
        </w:numPr>
      </w:pPr>
      <w:r>
        <w:t xml:space="preserve">Запрошено письменное подтверждение удаления данных</w:t>
      </w:r>
    </w:p>
    <w:p>
      <w:pPr>
        <w:pStyle w:val="Compact"/>
        <w:numPr>
          <w:ilvl w:val="0"/>
          <w:numId w:val="1008"/>
        </w:numPr>
      </w:pPr>
      <w:r>
        <w:t xml:space="preserve">Выгружены данные, которые необходимо сохранить</w:t>
      </w:r>
    </w:p>
    <w:p>
      <w:pPr>
        <w:pStyle w:val="Compact"/>
        <w:numPr>
          <w:ilvl w:val="0"/>
          <w:numId w:val="1009"/>
        </w:numPr>
      </w:pPr>
      <w:r>
        <w:t xml:space="preserve">Проверены сроки удаления по договору</w:t>
      </w:r>
    </w:p>
    <w:p>
      <w:pPr>
        <w:pStyle w:val="Compact"/>
        <w:numPr>
          <w:ilvl w:val="0"/>
          <w:numId w:val="1010"/>
        </w:numPr>
      </w:pPr>
      <w:r>
        <w:t xml:space="preserve">Обновлены записи об обработке ПДн</w:t>
      </w:r>
    </w:p>
    <w:bookmarkEnd w:id="10"/>
    <w:bookmarkStart w:id="11" w:name="ротация-учётных-данных"/>
    <w:p>
      <w:pPr>
        <w:pStyle w:val="Heading3"/>
      </w:pPr>
      <w:r>
        <w:t xml:space="preserve">Ротация учётных данных</w:t>
      </w:r>
    </w:p>
    <w:p>
      <w:pPr>
        <w:pStyle w:val="Compact"/>
        <w:numPr>
          <w:ilvl w:val="0"/>
          <w:numId w:val="1011"/>
        </w:numPr>
      </w:pPr>
      <w:r>
        <w:t xml:space="preserve">Сменены все реквизиты, к которым имел доступ поставщик</w:t>
      </w:r>
    </w:p>
    <w:p>
      <w:pPr>
        <w:pStyle w:val="Compact"/>
        <w:numPr>
          <w:ilvl w:val="0"/>
          <w:numId w:val="1012"/>
        </w:numPr>
      </w:pPr>
      <w:r>
        <w:t xml:space="preserve">Сменены API-ключи подключённых сервисов</w:t>
      </w:r>
    </w:p>
    <w:p>
      <w:pPr>
        <w:pStyle w:val="Compact"/>
        <w:numPr>
          <w:ilvl w:val="0"/>
          <w:numId w:val="1013"/>
        </w:numPr>
      </w:pPr>
      <w:r>
        <w:t xml:space="preserve">Аннулированы активные сессии</w:t>
      </w:r>
    </w:p>
    <w:bookmarkEnd w:id="11"/>
    <w:bookmarkStart w:id="12" w:name="документация"/>
    <w:p>
      <w:pPr>
        <w:pStyle w:val="Heading3"/>
      </w:pPr>
      <w:r>
        <w:t xml:space="preserve">Документация</w:t>
      </w:r>
    </w:p>
    <w:p>
      <w:pPr>
        <w:pStyle w:val="Compact"/>
        <w:numPr>
          <w:ilvl w:val="0"/>
          <w:numId w:val="1014"/>
        </w:numPr>
      </w:pPr>
      <w:r>
        <w:t xml:space="preserve">Реестр поставщиков обновлён (отмечен как неактивный)</w:t>
      </w:r>
    </w:p>
    <w:p>
      <w:pPr>
        <w:pStyle w:val="Compact"/>
        <w:numPr>
          <w:ilvl w:val="0"/>
          <w:numId w:val="1015"/>
        </w:numPr>
      </w:pPr>
      <w:r>
        <w:t xml:space="preserve">Документы об оценке безопасности архивированы</w:t>
      </w:r>
    </w:p>
    <w:p>
      <w:pPr>
        <w:pStyle w:val="Compact"/>
        <w:numPr>
          <w:ilvl w:val="0"/>
          <w:numId w:val="1016"/>
        </w:numPr>
      </w:pPr>
      <w:r>
        <w:t xml:space="preserve">Договор архивирован</w:t>
      </w:r>
    </w:p>
    <w:p>
      <w:pPr>
        <w:pStyle w:val="Compact"/>
        <w:numPr>
          <w:ilvl w:val="0"/>
          <w:numId w:val="1017"/>
        </w:numPr>
      </w:pPr>
      <w:r>
        <w:t xml:space="preserve">Причина завершения зафиксирована</w:t>
      </w:r>
    </w:p>
    <w:bookmarkEnd w:id="12"/>
    <w:bookmarkStart w:id="13" w:name="проверка"/>
    <w:p>
      <w:pPr>
        <w:pStyle w:val="Heading3"/>
      </w:pPr>
      <w:r>
        <w:t xml:space="preserve">Проверка</w:t>
      </w:r>
    </w:p>
    <w:p>
      <w:pPr>
        <w:pStyle w:val="Compact"/>
        <w:numPr>
          <w:ilvl w:val="0"/>
          <w:numId w:val="1018"/>
        </w:numPr>
      </w:pPr>
      <w:r>
        <w:t xml:space="preserve">Доступ поставщика отсутствует (проверено)</w:t>
      </w:r>
    </w:p>
    <w:p>
      <w:pPr>
        <w:pStyle w:val="Compact"/>
        <w:numPr>
          <w:ilvl w:val="0"/>
          <w:numId w:val="1019"/>
        </w:numPr>
      </w:pPr>
      <w:r>
        <w:t xml:space="preserve">Получен сертификат об удалении данных (если требуется)</w:t>
      </w:r>
    </w:p>
    <w:p>
      <w:pPr>
        <w:pStyle w:val="FirstParagraph"/>
      </w:pPr>
      <w:r>
        <w:t xml:space="preserve">Завершил: _______________ Дата: _______</w:t>
      </w:r>
      <w:r>
        <w:t xml:space="preserve"> </w:t>
      </w:r>
      <w:r>
        <w:t xml:space="preserve">Проверил: _______________ Дата: _______</w:t>
      </w:r>
    </w:p>
    <w:bookmarkEnd w:id="13"/>
    <w:sectPr>
      <w:footnotePr>
        <w:numRestart w:val="eachSect"/>
      </w:footnotePr>
      <w:pgSz w:h="16838" w:w="11906"/>
      <w:pgMar w:bottom="1134" w:left="1417" w:right="850" w:top="1134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2">
    <w:nsid w:val="0000A992"/>
    <w:multiLevelType w:val="multilevel"/>
    <w:lvl w:ilvl="0">
      <w:numFmt w:val="bullet"/>
      <w:lvlText w:val="☐"/>
      <w:lvlJc w:val="left"/>
      <w:pPr>
        <w:ind w:left="720" w:hanging="360"/>
      </w:pPr>
    </w:lvl>
    <w:lvl w:ilvl="1">
      <w:numFmt w:val="bullet"/>
      <w:lvlText w:val="☐"/>
      <w:lvlJc w:val="left"/>
      <w:pPr>
        <w:ind w:left="1440" w:hanging="360"/>
      </w:pPr>
    </w:lvl>
    <w:lvl w:ilvl="2">
      <w:numFmt w:val="bullet"/>
      <w:lvlText w:val="☐"/>
      <w:lvlJc w:val="left"/>
      <w:pPr>
        <w:ind w:left="2160" w:hanging="360"/>
      </w:pPr>
    </w:lvl>
    <w:lvl w:ilvl="3">
      <w:numFmt w:val="bullet"/>
      <w:lvlText w:val="☐"/>
      <w:lvlJc w:val="left"/>
      <w:pPr>
        <w:ind w:left="2880" w:hanging="360"/>
      </w:pPr>
    </w:lvl>
    <w:lvl w:ilvl="4">
      <w:numFmt w:val="bullet"/>
      <w:lvlText w:val="☐"/>
      <w:lvlJc w:val="left"/>
      <w:pPr>
        <w:ind w:left="3600" w:hanging="360"/>
      </w:pPr>
    </w:lvl>
    <w:lvl w:ilvl="5">
      <w:numFmt w:val="bullet"/>
      <w:lvlText w:val="☐"/>
      <w:lvlJc w:val="left"/>
      <w:pPr>
        <w:ind w:left="4320" w:hanging="360"/>
      </w:pPr>
    </w:lvl>
    <w:lvl w:ilvl="6">
      <w:numFmt w:val="bullet"/>
      <w:lvlText w:val="☐"/>
      <w:lvlJc w:val="left"/>
      <w:pPr>
        <w:ind w:left="5040" w:hanging="360"/>
      </w:pPr>
    </w:lvl>
    <w:lvl w:ilvl="7">
      <w:numFmt w:val="bullet"/>
      <w:lvlText w:val="☐"/>
      <w:lvlJc w:val="left"/>
      <w:pPr>
        <w:ind w:left="5760" w:hanging="360"/>
      </w:pPr>
    </w:lvl>
    <w:lvl w:ilvl="8">
      <w:numFmt w:val="bullet"/>
      <w:lvlText w:val="☐"/>
      <w:lvlJc w:val="left"/>
      <w:pPr>
        <w:ind w:left="6480" w:hanging="360"/>
      </w:pPr>
    </w:lvl>
  </w:abstractNum>
  <w:num w:numId="1000">
    <w:abstractNumId w:val="990"/>
  </w:num>
  <w:num w:numId="1001">
    <w:abstractNumId w:val="992"/>
  </w:num>
  <w:num w:numId="1002">
    <w:abstractNumId w:val="992"/>
  </w:num>
  <w:num w:numId="1003">
    <w:abstractNumId w:val="992"/>
  </w:num>
  <w:num w:numId="1004">
    <w:abstractNumId w:val="992"/>
  </w:num>
  <w:num w:numId="1005">
    <w:abstractNumId w:val="992"/>
  </w:num>
  <w:num w:numId="1006">
    <w:abstractNumId w:val="992"/>
  </w:num>
  <w:num w:numId="1007">
    <w:abstractNumId w:val="992"/>
  </w:num>
  <w:num w:numId="1008">
    <w:abstractNumId w:val="992"/>
  </w:num>
  <w:num w:numId="1009">
    <w:abstractNumId w:val="992"/>
  </w:num>
  <w:num w:numId="1010">
    <w:abstractNumId w:val="992"/>
  </w:num>
  <w:num w:numId="1011">
    <w:abstractNumId w:val="992"/>
  </w:num>
  <w:num w:numId="1012">
    <w:abstractNumId w:val="992"/>
  </w:num>
  <w:num w:numId="1013">
    <w:abstractNumId w:val="992"/>
  </w:num>
  <w:num w:numId="1014">
    <w:abstractNumId w:val="992"/>
  </w:num>
  <w:num w:numId="1015">
    <w:abstractNumId w:val="992"/>
  </w:num>
  <w:num w:numId="1016">
    <w:abstractNumId w:val="992"/>
  </w:num>
  <w:num w:numId="1017">
    <w:abstractNumId w:val="992"/>
  </w:num>
  <w:num w:numId="1018">
    <w:abstractNumId w:val="992"/>
  </w:num>
  <w:num w:numId="1019">
    <w:abstractNumId w:val="992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  <w:pPr>
      <w:spacing w:after="160" w:line="276" w:lineRule="auto"/>
    </w:pPr>
    <w:rPr>
      <w:rFonts w:ascii="Arial" w:cs="Arial" w:eastAsia="Arial" w:hAnsi="Arial"/>
      <w:sz w:val="22"/>
    </w:rPr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200" w:before="360" w:line="276" w:lineRule="auto"/>
      <w:outlineLvl w:val="0"/>
    </w:pPr>
    <w:rPr>
      <w:rFonts w:ascii="Arial" w:asciiTheme="majorHAnsi" w:cs="Arial" w:cstheme="majorBidi" w:eastAsia="Arial" w:eastAsiaTheme="majorEastAsia" w:hAnsi="Arial" w:hAnsiTheme="majorHAnsi"/>
      <w:b/>
      <w:color w:val="1A1A1A"/>
      <w:sz w:val="36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160" w:before="280" w:line="276" w:lineRule="auto"/>
      <w:outlineLvl w:val="1"/>
    </w:pPr>
    <w:rPr>
      <w:rFonts w:ascii="Arial" w:asciiTheme="majorHAnsi" w:cs="Arial" w:cstheme="majorBidi" w:eastAsia="Arial" w:eastAsiaTheme="majorEastAsia" w:hAnsi="Arial" w:hAnsiTheme="majorHAnsi"/>
      <w:b/>
      <w:color w:val="1A1A1A"/>
      <w:sz w:val="28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120" w:before="240" w:line="276" w:lineRule="auto"/>
      <w:outlineLvl w:val="2"/>
    </w:pPr>
    <w:rPr>
      <w:rFonts w:ascii="Arial" w:cs="Arial" w:cstheme="majorBidi" w:eastAsia="Arial" w:eastAsiaTheme="majorEastAsia" w:hAnsi="Arial"/>
      <w:b/>
      <w:color w:val="1A1A1A"/>
      <w:sz w:val="24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80" w:before="200" w:line="276" w:lineRule="auto"/>
      <w:outlineLvl w:val="3"/>
    </w:pPr>
    <w:rPr>
      <w:rFonts w:ascii="Arial" w:cs="Arial" w:cstheme="majorBidi" w:eastAsia="Arial" w:eastAsiaTheme="majorEastAsia" w:hAnsi="Arial"/>
      <w:b/>
      <w:i/>
      <w:iCs/>
      <w:color w:val="1A1A1A"/>
      <w:sz w:val="22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Чек-лист завершения отношений с поставщиком</dc:title>
  <dc:creator>ООО Пассворк</dc:creator>
  <cp:keywords/>
  <dcterms:created xsi:type="dcterms:W3CDTF">2026-08-07T06:43:49Z</dcterms:created>
  <dcterms:modified xsi:type="dcterms:W3CDTF">2026-08-07T06:43:49Z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