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Еженедельный обзор разведки угроз</w:t>
      </w:r>
    </w:p>
    <w:p>
      <w:pPr>
        <w:pStyle w:val="FirstParagraph"/>
      </w:pPr>
      <w:r>
        <w:t xml:space="preserve">Дата: [Дата]</w:t>
      </w:r>
      <w:r>
        <w:t xml:space="preserve"> </w:t>
      </w:r>
      <w:r>
        <w:t xml:space="preserve">Ответственный: [Имя]</w:t>
      </w:r>
    </w:p>
    <w:bookmarkStart w:id="9" w:name="проверены-источники"/>
    <w:p>
      <w:pPr>
        <w:pStyle w:val="Heading3"/>
      </w:pPr>
      <w:r>
        <w:t xml:space="preserve">Проверены источники</w:t>
      </w:r>
    </w:p>
    <w:p>
      <w:pPr>
        <w:pStyle w:val="Compact"/>
        <w:numPr>
          <w:ilvl w:val="0"/>
          <w:numId w:val="1001"/>
        </w:numPr>
      </w:pPr>
      <w:r>
        <w:t xml:space="preserve">БДУ ФСТЭК — новые записи</w:t>
      </w:r>
    </w:p>
    <w:p>
      <w:pPr>
        <w:pStyle w:val="Compact"/>
        <w:numPr>
          <w:ilvl w:val="0"/>
          <w:numId w:val="1002"/>
        </w:numPr>
      </w:pPr>
      <w:r>
        <w:t xml:space="preserve">cert.gov.ru — новые бюллетени</w:t>
      </w:r>
    </w:p>
    <w:p>
      <w:pPr>
        <w:pStyle w:val="Compact"/>
        <w:numPr>
          <w:ilvl w:val="0"/>
          <w:numId w:val="1003"/>
        </w:numPr>
      </w:pPr>
      <w:r>
        <w:t xml:space="preserve">Бюллетени поставщиков (перечень)</w:t>
      </w:r>
    </w:p>
    <w:p>
      <w:pPr>
        <w:pStyle w:val="Compact"/>
        <w:numPr>
          <w:ilvl w:val="0"/>
          <w:numId w:val="1004"/>
        </w:numPr>
      </w:pPr>
      <w:r>
        <w:t xml:space="preserve">Аналитика российских ИБ-компаний (заголовки)</w:t>
      </w:r>
    </w:p>
    <w:p>
      <w:pPr>
        <w:pStyle w:val="Compact"/>
        <w:numPr>
          <w:ilvl w:val="0"/>
          <w:numId w:val="1005"/>
        </w:numPr>
      </w:pPr>
      <w:r>
        <w:t xml:space="preserve">DLBI — уведомления по домену</w:t>
      </w:r>
    </w:p>
    <w:bookmarkEnd w:id="9"/>
    <w:bookmarkStart w:id="10" w:name="актуальные-позиции-за-неделю"/>
    <w:p>
      <w:pPr>
        <w:pStyle w:val="Heading3"/>
      </w:pPr>
      <w:r>
        <w:t xml:space="preserve">Актуальные позиции за неделю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344"/>
        <w:gridCol w:w="3138"/>
        <w:gridCol w:w="2092"/>
        <w:gridCol w:w="134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Источник</w:t>
            </w:r>
          </w:p>
        </w:tc>
        <w:tc>
          <w:tcPr/>
          <w:p>
            <w:pPr>
              <w:pStyle w:val="Compact"/>
            </w:pPr>
            <w:r>
              <w:t xml:space="preserve">Угроза / Уязвимость</w:t>
            </w:r>
          </w:p>
        </w:tc>
        <w:tc>
          <w:tcPr/>
          <w:p>
            <w:pPr>
              <w:pStyle w:val="Compact"/>
            </w:pPr>
            <w:r>
              <w:t xml:space="preserve">Касается нас?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БДУ ФСТЭК</w:t>
            </w:r>
          </w:p>
        </w:tc>
        <w:tc>
          <w:tcPr/>
          <w:p>
            <w:pPr>
              <w:pStyle w:val="Compact"/>
            </w:pPr>
            <w:r>
              <w:t xml:space="preserve">[Номер] ([Название ПО])</w:t>
            </w:r>
          </w:p>
        </w:tc>
        <w:tc>
          <w:tcPr/>
          <w:p>
            <w:pPr>
              <w:pStyle w:val="Compact"/>
            </w:pPr>
            <w:r>
              <w:t xml:space="preserve">Да (мы используем X)</w:t>
            </w:r>
          </w:p>
        </w:tc>
        <w:tc>
          <w:tcPr/>
          <w:p>
            <w:pPr>
              <w:pStyle w:val="Compact"/>
            </w:pPr>
            <w:r>
              <w:t xml:space="preserve">Патч до [дата]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Бюллетень облака</w:t>
            </w:r>
          </w:p>
        </w:tc>
        <w:tc>
          <w:tcPr/>
          <w:p>
            <w:pPr>
              <w:pStyle w:val="Compact"/>
            </w:pPr>
            <w:r>
              <w:t xml:space="preserve">Обновление политики хранилища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Проверить конфигурацию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Аналитика PT</w:t>
            </w:r>
          </w:p>
        </w:tc>
        <w:tc>
          <w:tcPr/>
          <w:p>
            <w:pPr>
              <w:pStyle w:val="Compact"/>
            </w:pPr>
            <w:r>
              <w:t xml:space="preserve">Кампания ransomware в нашей отрасли</w:t>
            </w:r>
          </w:p>
        </w:tc>
        <w:tc>
          <w:tcPr/>
          <w:p>
            <w:pPr>
              <w:pStyle w:val="Compact"/>
            </w:pPr>
            <w:r>
              <w:t xml:space="preserve">Осведомлённость</w:t>
            </w:r>
          </w:p>
        </w:tc>
        <w:tc>
          <w:tcPr/>
          <w:p>
            <w:pPr>
              <w:pStyle w:val="Compact"/>
            </w:pPr>
            <w:r>
              <w:t xml:space="preserve">Поделиться с командой</w:t>
            </w:r>
          </w:p>
        </w:tc>
      </w:tr>
    </w:tbl>
    <w:bookmarkEnd w:id="10"/>
    <w:bookmarkStart w:id="11" w:name="принятые-действия"/>
    <w:p>
      <w:pPr>
        <w:pStyle w:val="Heading3"/>
      </w:pPr>
      <w:r>
        <w:t xml:space="preserve">Принятые действия</w:t>
      </w:r>
    </w:p>
    <w:p>
      <w:pPr>
        <w:pStyle w:val="Compact"/>
        <w:numPr>
          <w:ilvl w:val="0"/>
          <w:numId w:val="1006"/>
        </w:numPr>
      </w:pPr>
      <w:r>
        <w:t xml:space="preserve">[Действие с деталями]</w:t>
      </w:r>
    </w:p>
    <w:p>
      <w:pPr>
        <w:pStyle w:val="Compact"/>
        <w:numPr>
          <w:ilvl w:val="0"/>
          <w:numId w:val="1006"/>
        </w:numPr>
      </w:pPr>
      <w:r>
        <w:t xml:space="preserve">[Действие с деталями]</w:t>
      </w:r>
    </w:p>
    <w:bookmarkEnd w:id="11"/>
    <w:bookmarkStart w:id="12" w:name="доведено-до-команды"/>
    <w:p>
      <w:pPr>
        <w:pStyle w:val="Heading3"/>
      </w:pPr>
      <w:r>
        <w:t xml:space="preserve">Доведено до команды</w:t>
      </w:r>
    </w:p>
    <w:p>
      <w:pPr>
        <w:pStyle w:val="Compact"/>
        <w:numPr>
          <w:ilvl w:val="0"/>
          <w:numId w:val="1007"/>
        </w:numPr>
      </w:pPr>
      <w:r>
        <w:t xml:space="preserve">Критичное — в канал безопасности немедленно</w:t>
      </w:r>
    </w:p>
    <w:p>
      <w:pPr>
        <w:pStyle w:val="Compact"/>
        <w:numPr>
          <w:ilvl w:val="0"/>
          <w:numId w:val="1008"/>
        </w:numPr>
      </w:pPr>
      <w:r>
        <w:t xml:space="preserve">Актуальное — в повестку следующей встречи команды</w:t>
      </w:r>
    </w:p>
    <w:bookmarkEnd w:id="12"/>
    <w:bookmarkStart w:id="13" w:name="примечания-для-следующей-недели"/>
    <w:p>
      <w:pPr>
        <w:pStyle w:val="Heading3"/>
      </w:pPr>
      <w:r>
        <w:t xml:space="preserve">Примечания для следующей недели</w:t>
      </w:r>
    </w:p>
    <w:p>
      <w:pPr>
        <w:pStyle w:val="FirstParagraph"/>
      </w:pPr>
      <w:r>
        <w:t xml:space="preserve">[Любые вопросы для дальнейшего мониторинга]</w:t>
      </w:r>
    </w:p>
    <w:bookmarkEnd w:id="13"/>
    <w:sectPr>
      <w:footnotePr>
        <w:numRestart w:val="eachSect"/>
      </w:footnotePr>
      <w:pgSz w:h="16838" w:w="11906"/>
      <w:pgMar w:bottom="1134" w:left="1417" w:right="85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"/>
  </w:num>
  <w:num w:numId="1008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60" w:line="276" w:lineRule="auto"/>
    </w:pPr>
    <w:rPr>
      <w:rFonts w:ascii="Arial" w:cs="Arial" w:eastAsia="Arial" w:hAnsi="Arial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200" w:before="360" w:line="276" w:lineRule="auto"/>
      <w:outlineLvl w:val="0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36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160" w:before="280" w:line="276" w:lineRule="auto"/>
      <w:outlineLvl w:val="1"/>
    </w:pPr>
    <w:rPr>
      <w:rFonts w:ascii="Arial" w:asciiTheme="majorHAnsi" w:cs="Arial" w:cstheme="majorBidi" w:eastAsia="Arial" w:eastAsiaTheme="majorEastAsia" w:hAnsi="Arial" w:hAnsiTheme="majorHAnsi"/>
      <w:b/>
      <w:color w:val="1A1A1A"/>
      <w:sz w:val="28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120" w:before="240" w:line="276" w:lineRule="auto"/>
      <w:outlineLvl w:val="2"/>
    </w:pPr>
    <w:rPr>
      <w:rFonts w:ascii="Arial" w:cs="Arial" w:cstheme="majorBidi" w:eastAsia="Arial" w:eastAsiaTheme="majorEastAsia" w:hAnsi="Arial"/>
      <w:b/>
      <w:color w:val="1A1A1A"/>
      <w:sz w:val="24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80" w:before="200" w:line="276" w:lineRule="auto"/>
      <w:outlineLvl w:val="3"/>
    </w:pPr>
    <w:rPr>
      <w:rFonts w:ascii="Arial" w:cs="Arial" w:cstheme="majorBidi" w:eastAsia="Arial" w:eastAsiaTheme="majorEastAsia" w:hAnsi="Arial"/>
      <w:b/>
      <w:i/>
      <w:iCs/>
      <w:color w:val="1A1A1A"/>
      <w:sz w:val="22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Еженедельный обзор разведки угроз</dc:title>
  <dc:creator>ООО Пассворк</dc:creator>
  <cp:keywords/>
  <dcterms:created xsi:type="dcterms:W3CDTF">2026-08-07T06:43:49Z</dcterms:created>
  <dcterms:modified xsi:type="dcterms:W3CDTF">2026-08-07T06:43:49Z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